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82F" w:rsidRDefault="00D142B4">
      <w:pPr>
        <w:ind w:right="40"/>
        <w:jc w:val="center"/>
        <w:rPr>
          <w:sz w:val="20"/>
          <w:szCs w:val="20"/>
        </w:rPr>
      </w:pPr>
      <w:bookmarkStart w:id="0" w:name="page1"/>
      <w:bookmarkEnd w:id="0"/>
      <w:r>
        <w:rPr>
          <w:rFonts w:eastAsia="Times New Roman"/>
          <w:b/>
          <w:bCs/>
          <w:sz w:val="36"/>
          <w:szCs w:val="36"/>
        </w:rPr>
        <w:t>Република Србија</w:t>
      </w:r>
    </w:p>
    <w:p w:rsidR="0039382F" w:rsidRDefault="0039382F">
      <w:pPr>
        <w:spacing w:line="206" w:lineRule="exact"/>
        <w:rPr>
          <w:sz w:val="24"/>
          <w:szCs w:val="24"/>
        </w:rPr>
      </w:pPr>
    </w:p>
    <w:p w:rsidR="0039382F" w:rsidRPr="00D142B4" w:rsidRDefault="00D142B4" w:rsidP="00D142B4">
      <w:pPr>
        <w:jc w:val="center"/>
        <w:rPr>
          <w:b/>
          <w:sz w:val="36"/>
          <w:szCs w:val="36"/>
        </w:rPr>
      </w:pPr>
      <w:r w:rsidRPr="00D142B4">
        <w:rPr>
          <w:b/>
          <w:sz w:val="36"/>
          <w:szCs w:val="36"/>
        </w:rPr>
        <w:t>Општина Мало Црниће</w:t>
      </w:r>
    </w:p>
    <w:p w:rsidR="0039382F" w:rsidRPr="00D142B4" w:rsidRDefault="0039382F" w:rsidP="00D142B4">
      <w:pPr>
        <w:jc w:val="center"/>
        <w:rPr>
          <w:b/>
          <w:sz w:val="36"/>
          <w:szCs w:val="36"/>
        </w:rPr>
      </w:pPr>
    </w:p>
    <w:p w:rsidR="0039382F" w:rsidRDefault="0039382F">
      <w:pPr>
        <w:spacing w:line="200" w:lineRule="exact"/>
        <w:rPr>
          <w:sz w:val="24"/>
          <w:szCs w:val="24"/>
        </w:rPr>
      </w:pPr>
    </w:p>
    <w:p w:rsidR="0039382F" w:rsidRDefault="0039382F">
      <w:pPr>
        <w:spacing w:line="200" w:lineRule="exact"/>
        <w:rPr>
          <w:sz w:val="24"/>
          <w:szCs w:val="24"/>
        </w:rPr>
      </w:pPr>
    </w:p>
    <w:p w:rsidR="0039382F" w:rsidRDefault="0039382F">
      <w:pPr>
        <w:spacing w:line="200" w:lineRule="exact"/>
        <w:rPr>
          <w:sz w:val="24"/>
          <w:szCs w:val="24"/>
        </w:rPr>
      </w:pPr>
    </w:p>
    <w:p w:rsidR="0039382F" w:rsidRDefault="0039382F">
      <w:pPr>
        <w:spacing w:line="200" w:lineRule="exact"/>
        <w:rPr>
          <w:sz w:val="24"/>
          <w:szCs w:val="24"/>
        </w:rPr>
      </w:pPr>
    </w:p>
    <w:p w:rsidR="0039382F" w:rsidRDefault="0039382F" w:rsidP="00D142B4"/>
    <w:p w:rsidR="0039382F" w:rsidRDefault="0039382F">
      <w:pPr>
        <w:spacing w:line="200" w:lineRule="exact"/>
        <w:rPr>
          <w:sz w:val="24"/>
          <w:szCs w:val="24"/>
        </w:rPr>
      </w:pPr>
    </w:p>
    <w:p w:rsidR="0039382F" w:rsidRDefault="0039382F">
      <w:pPr>
        <w:spacing w:line="200" w:lineRule="exact"/>
        <w:rPr>
          <w:sz w:val="24"/>
          <w:szCs w:val="24"/>
        </w:rPr>
      </w:pPr>
    </w:p>
    <w:p w:rsidR="0039382F" w:rsidRDefault="0039382F">
      <w:pPr>
        <w:spacing w:line="200" w:lineRule="exact"/>
        <w:rPr>
          <w:sz w:val="24"/>
          <w:szCs w:val="24"/>
        </w:rPr>
      </w:pPr>
    </w:p>
    <w:p w:rsidR="0039382F" w:rsidRDefault="0039382F">
      <w:pPr>
        <w:spacing w:line="200" w:lineRule="exact"/>
        <w:rPr>
          <w:sz w:val="24"/>
          <w:szCs w:val="24"/>
        </w:rPr>
      </w:pPr>
    </w:p>
    <w:p w:rsidR="0039382F" w:rsidRDefault="0039382F">
      <w:pPr>
        <w:spacing w:line="200" w:lineRule="exact"/>
        <w:rPr>
          <w:sz w:val="24"/>
          <w:szCs w:val="24"/>
        </w:rPr>
      </w:pPr>
    </w:p>
    <w:p w:rsidR="0039382F" w:rsidRDefault="0039382F">
      <w:pPr>
        <w:spacing w:line="200" w:lineRule="exact"/>
        <w:rPr>
          <w:sz w:val="24"/>
          <w:szCs w:val="24"/>
        </w:rPr>
      </w:pPr>
    </w:p>
    <w:p w:rsidR="0039382F" w:rsidRDefault="0039382F">
      <w:pPr>
        <w:spacing w:line="200" w:lineRule="exact"/>
        <w:rPr>
          <w:sz w:val="24"/>
          <w:szCs w:val="24"/>
        </w:rPr>
      </w:pPr>
    </w:p>
    <w:p w:rsidR="0039382F" w:rsidRDefault="0039382F">
      <w:pPr>
        <w:spacing w:line="200" w:lineRule="exact"/>
        <w:rPr>
          <w:sz w:val="24"/>
          <w:szCs w:val="24"/>
        </w:rPr>
      </w:pPr>
    </w:p>
    <w:p w:rsidR="0039382F" w:rsidRDefault="0039382F">
      <w:pPr>
        <w:spacing w:line="200" w:lineRule="exact"/>
        <w:rPr>
          <w:sz w:val="24"/>
          <w:szCs w:val="24"/>
        </w:rPr>
      </w:pPr>
    </w:p>
    <w:p w:rsidR="0039382F" w:rsidRDefault="0039382F">
      <w:pPr>
        <w:spacing w:line="200" w:lineRule="exact"/>
        <w:rPr>
          <w:sz w:val="24"/>
          <w:szCs w:val="24"/>
        </w:rPr>
      </w:pPr>
    </w:p>
    <w:p w:rsidR="0039382F" w:rsidRPr="00225B48" w:rsidRDefault="0039382F">
      <w:pPr>
        <w:spacing w:line="320" w:lineRule="exact"/>
        <w:rPr>
          <w:sz w:val="28"/>
          <w:szCs w:val="28"/>
        </w:rPr>
      </w:pPr>
    </w:p>
    <w:p w:rsidR="0039382F" w:rsidRPr="00225B48" w:rsidRDefault="00D142B4">
      <w:pPr>
        <w:ind w:right="40"/>
        <w:jc w:val="center"/>
        <w:rPr>
          <w:sz w:val="28"/>
          <w:szCs w:val="28"/>
        </w:rPr>
      </w:pPr>
      <w:r w:rsidRPr="00225B48">
        <w:rPr>
          <w:rFonts w:eastAsia="Times New Roman"/>
          <w:b/>
          <w:bCs/>
          <w:sz w:val="28"/>
          <w:szCs w:val="28"/>
        </w:rPr>
        <w:t>УПУТСТВО</w:t>
      </w:r>
    </w:p>
    <w:p w:rsidR="0039382F" w:rsidRPr="00225B48" w:rsidRDefault="0039382F">
      <w:pPr>
        <w:spacing w:line="246" w:lineRule="exact"/>
        <w:rPr>
          <w:sz w:val="28"/>
          <w:szCs w:val="28"/>
        </w:rPr>
      </w:pPr>
    </w:p>
    <w:p w:rsidR="009646D6" w:rsidRDefault="00D142B4">
      <w:pPr>
        <w:spacing w:line="276" w:lineRule="auto"/>
        <w:ind w:left="160" w:right="200"/>
        <w:jc w:val="center"/>
        <w:rPr>
          <w:rFonts w:eastAsia="Times New Roman"/>
          <w:b/>
          <w:bCs/>
          <w:sz w:val="28"/>
          <w:szCs w:val="28"/>
        </w:rPr>
      </w:pPr>
      <w:r w:rsidRPr="00225B48">
        <w:rPr>
          <w:rFonts w:eastAsia="Times New Roman"/>
          <w:b/>
          <w:bCs/>
          <w:sz w:val="28"/>
          <w:szCs w:val="28"/>
        </w:rPr>
        <w:t>ЗА ПРИПРЕМУ БУЏЕТА ОПШТИНЕ МАЛО ЦРНИЋЕ</w:t>
      </w:r>
      <w:r w:rsidR="00225B48">
        <w:rPr>
          <w:rFonts w:eastAsia="Times New Roman"/>
          <w:b/>
          <w:bCs/>
          <w:sz w:val="28"/>
          <w:szCs w:val="28"/>
        </w:rPr>
        <w:t xml:space="preserve"> ЗА </w:t>
      </w:r>
    </w:p>
    <w:p w:rsidR="0039382F" w:rsidRPr="00225B48" w:rsidRDefault="002D2E80">
      <w:pPr>
        <w:spacing w:line="276" w:lineRule="auto"/>
        <w:ind w:left="160" w:right="200"/>
        <w:jc w:val="center"/>
        <w:rPr>
          <w:sz w:val="28"/>
          <w:szCs w:val="28"/>
        </w:rPr>
      </w:pPr>
      <w:r>
        <w:rPr>
          <w:rFonts w:eastAsia="Times New Roman"/>
          <w:b/>
          <w:bCs/>
          <w:sz w:val="28"/>
          <w:szCs w:val="28"/>
        </w:rPr>
        <w:t>2019</w:t>
      </w:r>
      <w:r w:rsidR="00D142B4" w:rsidRPr="00225B48">
        <w:rPr>
          <w:rFonts w:eastAsia="Times New Roman"/>
          <w:b/>
          <w:bCs/>
          <w:sz w:val="28"/>
          <w:szCs w:val="28"/>
        </w:rPr>
        <w:t>. ГОДИНУ</w:t>
      </w:r>
    </w:p>
    <w:p w:rsidR="0039382F" w:rsidRPr="00225B48" w:rsidRDefault="0039382F">
      <w:pPr>
        <w:spacing w:line="200" w:lineRule="exact"/>
        <w:rPr>
          <w:sz w:val="28"/>
          <w:szCs w:val="28"/>
        </w:rPr>
      </w:pPr>
    </w:p>
    <w:p w:rsidR="0039382F" w:rsidRPr="00225B48" w:rsidRDefault="0039382F">
      <w:pPr>
        <w:spacing w:line="200" w:lineRule="exact"/>
        <w:rPr>
          <w:sz w:val="28"/>
          <w:szCs w:val="28"/>
        </w:rPr>
      </w:pPr>
    </w:p>
    <w:p w:rsidR="0039382F" w:rsidRPr="00225B48" w:rsidRDefault="0039382F">
      <w:pPr>
        <w:spacing w:line="200" w:lineRule="exact"/>
        <w:rPr>
          <w:sz w:val="28"/>
          <w:szCs w:val="28"/>
        </w:rPr>
      </w:pPr>
    </w:p>
    <w:p w:rsidR="0039382F" w:rsidRPr="00225B48" w:rsidRDefault="0039382F">
      <w:pPr>
        <w:spacing w:line="200" w:lineRule="exact"/>
        <w:rPr>
          <w:sz w:val="28"/>
          <w:szCs w:val="28"/>
        </w:rPr>
      </w:pPr>
    </w:p>
    <w:p w:rsidR="0039382F" w:rsidRPr="00225B48" w:rsidRDefault="0039382F">
      <w:pPr>
        <w:spacing w:line="200" w:lineRule="exact"/>
        <w:rPr>
          <w:sz w:val="28"/>
          <w:szCs w:val="28"/>
        </w:rPr>
      </w:pPr>
    </w:p>
    <w:p w:rsidR="0039382F" w:rsidRPr="00225B48" w:rsidRDefault="0039382F">
      <w:pPr>
        <w:spacing w:line="200" w:lineRule="exact"/>
        <w:rPr>
          <w:sz w:val="28"/>
          <w:szCs w:val="28"/>
        </w:rPr>
      </w:pPr>
    </w:p>
    <w:p w:rsidR="0039382F" w:rsidRDefault="0039382F">
      <w:pPr>
        <w:spacing w:line="200" w:lineRule="exact"/>
        <w:rPr>
          <w:sz w:val="24"/>
          <w:szCs w:val="24"/>
        </w:rPr>
      </w:pPr>
    </w:p>
    <w:p w:rsidR="0039382F" w:rsidRDefault="0039382F">
      <w:pPr>
        <w:spacing w:line="200" w:lineRule="exact"/>
        <w:rPr>
          <w:sz w:val="24"/>
          <w:szCs w:val="24"/>
        </w:rPr>
      </w:pPr>
    </w:p>
    <w:p w:rsidR="0039382F" w:rsidRDefault="0039382F">
      <w:pPr>
        <w:spacing w:line="200" w:lineRule="exact"/>
        <w:rPr>
          <w:sz w:val="24"/>
          <w:szCs w:val="24"/>
        </w:rPr>
      </w:pPr>
    </w:p>
    <w:p w:rsidR="0039382F" w:rsidRDefault="0039382F">
      <w:pPr>
        <w:spacing w:line="200" w:lineRule="exact"/>
        <w:rPr>
          <w:sz w:val="24"/>
          <w:szCs w:val="24"/>
        </w:rPr>
      </w:pPr>
    </w:p>
    <w:p w:rsidR="0039382F" w:rsidRDefault="0039382F">
      <w:pPr>
        <w:spacing w:line="200" w:lineRule="exact"/>
        <w:rPr>
          <w:sz w:val="24"/>
          <w:szCs w:val="24"/>
        </w:rPr>
      </w:pPr>
    </w:p>
    <w:p w:rsidR="0039382F" w:rsidRDefault="0039382F">
      <w:pPr>
        <w:spacing w:line="200" w:lineRule="exact"/>
        <w:rPr>
          <w:sz w:val="24"/>
          <w:szCs w:val="24"/>
        </w:rPr>
      </w:pPr>
    </w:p>
    <w:p w:rsidR="0039382F" w:rsidRDefault="0039382F">
      <w:pPr>
        <w:spacing w:line="200" w:lineRule="exact"/>
        <w:rPr>
          <w:sz w:val="24"/>
          <w:szCs w:val="24"/>
        </w:rPr>
      </w:pPr>
    </w:p>
    <w:p w:rsidR="0039382F" w:rsidRDefault="0039382F">
      <w:pPr>
        <w:spacing w:line="200" w:lineRule="exact"/>
        <w:rPr>
          <w:sz w:val="24"/>
          <w:szCs w:val="24"/>
        </w:rPr>
      </w:pPr>
    </w:p>
    <w:p w:rsidR="0039382F" w:rsidRDefault="0039382F">
      <w:pPr>
        <w:spacing w:line="200" w:lineRule="exact"/>
        <w:rPr>
          <w:sz w:val="24"/>
          <w:szCs w:val="24"/>
        </w:rPr>
      </w:pPr>
    </w:p>
    <w:p w:rsidR="0039382F" w:rsidRDefault="0039382F">
      <w:pPr>
        <w:spacing w:line="200" w:lineRule="exact"/>
        <w:rPr>
          <w:sz w:val="24"/>
          <w:szCs w:val="24"/>
        </w:rPr>
      </w:pPr>
    </w:p>
    <w:p w:rsidR="0039382F" w:rsidRDefault="0039382F">
      <w:pPr>
        <w:spacing w:line="200" w:lineRule="exact"/>
        <w:rPr>
          <w:sz w:val="24"/>
          <w:szCs w:val="24"/>
        </w:rPr>
      </w:pPr>
    </w:p>
    <w:p w:rsidR="0039382F" w:rsidRDefault="0039382F">
      <w:pPr>
        <w:spacing w:line="200" w:lineRule="exact"/>
        <w:rPr>
          <w:sz w:val="24"/>
          <w:szCs w:val="24"/>
        </w:rPr>
      </w:pPr>
    </w:p>
    <w:p w:rsidR="0039382F" w:rsidRDefault="0039382F">
      <w:pPr>
        <w:spacing w:line="200" w:lineRule="exact"/>
        <w:rPr>
          <w:sz w:val="24"/>
          <w:szCs w:val="24"/>
        </w:rPr>
      </w:pPr>
    </w:p>
    <w:p w:rsidR="0039382F" w:rsidRDefault="0039382F">
      <w:pPr>
        <w:spacing w:line="200" w:lineRule="exact"/>
        <w:rPr>
          <w:sz w:val="24"/>
          <w:szCs w:val="24"/>
        </w:rPr>
      </w:pPr>
    </w:p>
    <w:p w:rsidR="0039382F" w:rsidRDefault="0039382F">
      <w:pPr>
        <w:spacing w:line="200" w:lineRule="exact"/>
        <w:rPr>
          <w:sz w:val="24"/>
          <w:szCs w:val="24"/>
        </w:rPr>
      </w:pPr>
    </w:p>
    <w:p w:rsidR="00225B48" w:rsidRDefault="00225B48">
      <w:pPr>
        <w:spacing w:line="200" w:lineRule="exact"/>
        <w:rPr>
          <w:sz w:val="24"/>
          <w:szCs w:val="24"/>
        </w:rPr>
      </w:pPr>
    </w:p>
    <w:p w:rsidR="00225B48" w:rsidRDefault="00225B48">
      <w:pPr>
        <w:spacing w:line="200" w:lineRule="exact"/>
        <w:rPr>
          <w:sz w:val="24"/>
          <w:szCs w:val="24"/>
        </w:rPr>
      </w:pPr>
    </w:p>
    <w:p w:rsidR="00225B48" w:rsidRDefault="00225B48">
      <w:pPr>
        <w:spacing w:line="200" w:lineRule="exact"/>
        <w:rPr>
          <w:sz w:val="24"/>
          <w:szCs w:val="24"/>
        </w:rPr>
      </w:pPr>
    </w:p>
    <w:p w:rsidR="00225B48" w:rsidRDefault="00225B48">
      <w:pPr>
        <w:spacing w:line="200" w:lineRule="exact"/>
        <w:rPr>
          <w:sz w:val="24"/>
          <w:szCs w:val="24"/>
        </w:rPr>
      </w:pPr>
    </w:p>
    <w:p w:rsidR="00225B48" w:rsidRDefault="00225B48">
      <w:pPr>
        <w:spacing w:line="200" w:lineRule="exact"/>
        <w:rPr>
          <w:sz w:val="24"/>
          <w:szCs w:val="24"/>
        </w:rPr>
      </w:pPr>
    </w:p>
    <w:p w:rsidR="00225B48" w:rsidRDefault="00225B48">
      <w:pPr>
        <w:spacing w:line="200" w:lineRule="exact"/>
        <w:rPr>
          <w:sz w:val="24"/>
          <w:szCs w:val="24"/>
        </w:rPr>
      </w:pPr>
    </w:p>
    <w:p w:rsidR="00225B48" w:rsidRPr="00225B48" w:rsidRDefault="00225B48">
      <w:pPr>
        <w:spacing w:line="200" w:lineRule="exact"/>
        <w:rPr>
          <w:sz w:val="24"/>
          <w:szCs w:val="24"/>
        </w:rPr>
      </w:pPr>
    </w:p>
    <w:p w:rsidR="0039382F" w:rsidRDefault="0039382F">
      <w:pPr>
        <w:spacing w:line="200" w:lineRule="exact"/>
        <w:rPr>
          <w:sz w:val="24"/>
          <w:szCs w:val="24"/>
        </w:rPr>
      </w:pPr>
    </w:p>
    <w:p w:rsidR="0039382F" w:rsidRDefault="0039382F">
      <w:pPr>
        <w:spacing w:line="200" w:lineRule="exact"/>
        <w:rPr>
          <w:sz w:val="24"/>
          <w:szCs w:val="24"/>
        </w:rPr>
      </w:pPr>
    </w:p>
    <w:p w:rsidR="0039382F" w:rsidRDefault="0039382F">
      <w:pPr>
        <w:spacing w:line="200" w:lineRule="exact"/>
        <w:rPr>
          <w:sz w:val="24"/>
          <w:szCs w:val="24"/>
        </w:rPr>
      </w:pPr>
    </w:p>
    <w:p w:rsidR="0039382F" w:rsidRDefault="0039382F">
      <w:pPr>
        <w:spacing w:line="200" w:lineRule="exact"/>
        <w:rPr>
          <w:sz w:val="24"/>
          <w:szCs w:val="24"/>
        </w:rPr>
      </w:pPr>
    </w:p>
    <w:p w:rsidR="0039382F" w:rsidRDefault="0039382F">
      <w:pPr>
        <w:spacing w:line="200" w:lineRule="exact"/>
        <w:rPr>
          <w:sz w:val="24"/>
          <w:szCs w:val="24"/>
        </w:rPr>
      </w:pPr>
    </w:p>
    <w:p w:rsidR="0039382F" w:rsidRDefault="0039382F" w:rsidP="00225B48">
      <w:pPr>
        <w:spacing w:line="285" w:lineRule="exact"/>
        <w:jc w:val="center"/>
        <w:rPr>
          <w:sz w:val="24"/>
          <w:szCs w:val="24"/>
        </w:rPr>
      </w:pPr>
    </w:p>
    <w:p w:rsidR="0039382F" w:rsidRPr="00D142B4" w:rsidRDefault="00EE2D6D" w:rsidP="00225B48">
      <w:pPr>
        <w:pStyle w:val="Pasussalistom"/>
        <w:spacing w:line="293" w:lineRule="auto"/>
        <w:ind w:right="-16"/>
        <w:jc w:val="center"/>
        <w:rPr>
          <w:rFonts w:eastAsia="Times New Roman"/>
          <w:b/>
          <w:bCs/>
          <w:sz w:val="27"/>
          <w:szCs w:val="27"/>
        </w:rPr>
      </w:pPr>
      <w:r>
        <w:rPr>
          <w:rFonts w:eastAsia="Times New Roman"/>
          <w:b/>
          <w:bCs/>
          <w:sz w:val="27"/>
          <w:szCs w:val="27"/>
        </w:rPr>
        <w:t>24</w:t>
      </w:r>
      <w:r w:rsidR="00225B48">
        <w:rPr>
          <w:rFonts w:eastAsia="Times New Roman"/>
          <w:b/>
          <w:bCs/>
          <w:sz w:val="27"/>
          <w:szCs w:val="27"/>
        </w:rPr>
        <w:t xml:space="preserve">. </w:t>
      </w:r>
      <w:r w:rsidR="00BB53D5">
        <w:rPr>
          <w:rFonts w:eastAsia="Times New Roman"/>
          <w:b/>
          <w:bCs/>
          <w:sz w:val="27"/>
          <w:szCs w:val="27"/>
        </w:rPr>
        <w:t>јул 2018</w:t>
      </w:r>
      <w:r w:rsidR="00D142B4" w:rsidRPr="00D142B4">
        <w:rPr>
          <w:rFonts w:eastAsia="Times New Roman"/>
          <w:b/>
          <w:bCs/>
          <w:sz w:val="27"/>
          <w:szCs w:val="27"/>
        </w:rPr>
        <w:t xml:space="preserve">. године </w:t>
      </w:r>
      <w:r w:rsidR="00D142B4">
        <w:rPr>
          <w:rFonts w:eastAsia="Times New Roman"/>
          <w:b/>
          <w:bCs/>
          <w:sz w:val="27"/>
          <w:szCs w:val="27"/>
        </w:rPr>
        <w:t>Мало Црниће</w:t>
      </w:r>
    </w:p>
    <w:p w:rsidR="0039382F" w:rsidRDefault="0039382F">
      <w:pPr>
        <w:spacing w:line="47" w:lineRule="exact"/>
        <w:rPr>
          <w:sz w:val="24"/>
          <w:szCs w:val="24"/>
        </w:rPr>
      </w:pPr>
    </w:p>
    <w:p w:rsidR="0039382F" w:rsidRPr="000F12D0" w:rsidRDefault="0039382F" w:rsidP="000F12D0">
      <w:pPr>
        <w:rPr>
          <w:sz w:val="20"/>
          <w:szCs w:val="20"/>
        </w:rPr>
        <w:sectPr w:rsidR="0039382F" w:rsidRPr="000F12D0" w:rsidSect="004F135E">
          <w:footerReference w:type="default" r:id="rId8"/>
          <w:footerReference w:type="first" r:id="rId9"/>
          <w:pgSz w:w="11900" w:h="16840"/>
          <w:pgMar w:top="1384" w:right="1404" w:bottom="439" w:left="1440" w:header="0" w:footer="0" w:gutter="0"/>
          <w:cols w:space="720" w:equalWidth="0">
            <w:col w:w="9060"/>
          </w:cols>
          <w:titlePg/>
          <w:docGrid w:linePitch="299"/>
        </w:sectPr>
      </w:pPr>
    </w:p>
    <w:p w:rsidR="0039382F" w:rsidRPr="000F12D0" w:rsidRDefault="0039382F">
      <w:pPr>
        <w:spacing w:line="231" w:lineRule="exact"/>
        <w:rPr>
          <w:sz w:val="20"/>
          <w:szCs w:val="20"/>
        </w:rPr>
      </w:pPr>
      <w:bookmarkStart w:id="1" w:name="page2"/>
      <w:bookmarkEnd w:id="1"/>
    </w:p>
    <w:p w:rsidR="0039382F" w:rsidRPr="00AF35A8" w:rsidRDefault="00AF35A8">
      <w:pPr>
        <w:jc w:val="center"/>
        <w:rPr>
          <w:sz w:val="20"/>
          <w:szCs w:val="20"/>
        </w:rPr>
      </w:pPr>
      <w:r>
        <w:rPr>
          <w:rFonts w:eastAsia="Times New Roman"/>
          <w:b/>
          <w:bCs/>
          <w:sz w:val="24"/>
          <w:szCs w:val="24"/>
        </w:rPr>
        <w:t>ЗАКОНСКИ ОСНОВ</w:t>
      </w:r>
    </w:p>
    <w:p w:rsidR="0039382F" w:rsidRDefault="0039382F">
      <w:pPr>
        <w:spacing w:line="280" w:lineRule="exact"/>
        <w:rPr>
          <w:sz w:val="20"/>
          <w:szCs w:val="20"/>
        </w:rPr>
      </w:pPr>
    </w:p>
    <w:p w:rsidR="0039382F" w:rsidRPr="00562CA4" w:rsidRDefault="00D142B4" w:rsidP="00562CA4">
      <w:pPr>
        <w:spacing w:line="246" w:lineRule="auto"/>
        <w:ind w:firstLine="720"/>
        <w:jc w:val="both"/>
        <w:rPr>
          <w:sz w:val="20"/>
          <w:szCs w:val="20"/>
        </w:rPr>
      </w:pPr>
      <w:r>
        <w:rPr>
          <w:rFonts w:eastAsia="Times New Roman"/>
          <w:sz w:val="24"/>
          <w:szCs w:val="24"/>
        </w:rPr>
        <w:t>Поступак припреме и доношења буџета локалне власти уређен је Законoм о буџетском систему систему ("Сл.гласник РС", број 54/2009, 73/2010, 101/2010, 101/2011, 93/2012, 62/2013, 63/2013–испр., 108/20</w:t>
      </w:r>
      <w:r w:rsidR="00950AF7">
        <w:rPr>
          <w:rFonts w:eastAsia="Times New Roman"/>
          <w:sz w:val="24"/>
          <w:szCs w:val="24"/>
        </w:rPr>
        <w:t>13, 142/2014, 68/2015,103/2015,</w:t>
      </w:r>
      <w:r>
        <w:rPr>
          <w:rFonts w:eastAsia="Times New Roman"/>
          <w:sz w:val="24"/>
          <w:szCs w:val="24"/>
        </w:rPr>
        <w:t xml:space="preserve"> 99/16</w:t>
      </w:r>
      <w:r w:rsidR="00950AF7">
        <w:rPr>
          <w:rFonts w:eastAsia="Times New Roman"/>
          <w:sz w:val="24"/>
          <w:szCs w:val="24"/>
        </w:rPr>
        <w:t xml:space="preserve"> и 113/2017</w:t>
      </w:r>
      <w:r>
        <w:rPr>
          <w:rFonts w:eastAsia="Times New Roman"/>
          <w:sz w:val="24"/>
          <w:szCs w:val="24"/>
        </w:rPr>
        <w:t>). На основу члана 31. Закона, по буџетском календару, министар финансија доставља Упутство за припрему Oдлуке о буџету локалне власти као и Фискалну стратегију до 5. јула.</w:t>
      </w:r>
    </w:p>
    <w:p w:rsidR="0013472A" w:rsidRPr="00562CA4" w:rsidRDefault="0013472A" w:rsidP="00562CA4">
      <w:pPr>
        <w:spacing w:line="247" w:lineRule="auto"/>
        <w:ind w:firstLine="720"/>
        <w:jc w:val="both"/>
        <w:rPr>
          <w:rFonts w:eastAsia="Times New Roman"/>
          <w:sz w:val="24"/>
          <w:szCs w:val="24"/>
        </w:rPr>
      </w:pPr>
      <w:r>
        <w:rPr>
          <w:rFonts w:eastAsia="Times New Roman"/>
          <w:sz w:val="24"/>
          <w:szCs w:val="24"/>
        </w:rPr>
        <w:t>Припрема буџет</w:t>
      </w:r>
      <w:r w:rsidR="00423E21">
        <w:rPr>
          <w:rFonts w:eastAsia="Times New Roman"/>
          <w:sz w:val="24"/>
          <w:szCs w:val="24"/>
        </w:rPr>
        <w:t xml:space="preserve">а за </w:t>
      </w:r>
      <w:proofErr w:type="spellStart"/>
      <w:r w:rsidR="00423E21">
        <w:rPr>
          <w:rFonts w:eastAsia="Times New Roman"/>
          <w:sz w:val="24"/>
          <w:szCs w:val="24"/>
        </w:rPr>
        <w:t>2019</w:t>
      </w:r>
      <w:r>
        <w:rPr>
          <w:rFonts w:eastAsia="Times New Roman"/>
          <w:sz w:val="24"/>
          <w:szCs w:val="24"/>
        </w:rPr>
        <w:t>.годину</w:t>
      </w:r>
      <w:proofErr w:type="spellEnd"/>
      <w:r>
        <w:rPr>
          <w:rFonts w:eastAsia="Times New Roman"/>
          <w:sz w:val="24"/>
          <w:szCs w:val="24"/>
        </w:rPr>
        <w:t xml:space="preserve"> почиње без усво</w:t>
      </w:r>
      <w:r w:rsidR="00950AF7">
        <w:rPr>
          <w:rFonts w:eastAsia="Times New Roman"/>
          <w:sz w:val="24"/>
          <w:szCs w:val="24"/>
        </w:rPr>
        <w:t>јене Фискалне стратегије за 2019.годину и пројекцијама за 2020. и 2021</w:t>
      </w:r>
      <w:r>
        <w:rPr>
          <w:rFonts w:eastAsia="Times New Roman"/>
          <w:sz w:val="24"/>
          <w:szCs w:val="24"/>
        </w:rPr>
        <w:t>. годину и Упутства за припрему Одлуке</w:t>
      </w:r>
      <w:r w:rsidR="00950AF7">
        <w:rPr>
          <w:rFonts w:eastAsia="Times New Roman"/>
          <w:sz w:val="24"/>
          <w:szCs w:val="24"/>
        </w:rPr>
        <w:t xml:space="preserve"> о буџету локалне власти за 2019</w:t>
      </w:r>
      <w:r>
        <w:rPr>
          <w:rFonts w:eastAsia="Times New Roman"/>
          <w:sz w:val="24"/>
          <w:szCs w:val="24"/>
        </w:rPr>
        <w:t>.годину из разлога што Влада РС и Министарство финансија нису усвојили и доставили наведена документа у З</w:t>
      </w:r>
      <w:r w:rsidR="00562CA4">
        <w:rPr>
          <w:rFonts w:eastAsia="Times New Roman"/>
          <w:sz w:val="24"/>
          <w:szCs w:val="24"/>
        </w:rPr>
        <w:t>аконом прописаном року (5.јул).</w:t>
      </w:r>
    </w:p>
    <w:p w:rsidR="0063574C" w:rsidRPr="00562CA4" w:rsidRDefault="0013472A" w:rsidP="00562CA4">
      <w:pPr>
        <w:spacing w:line="247" w:lineRule="auto"/>
        <w:ind w:firstLine="720"/>
        <w:jc w:val="both"/>
        <w:rPr>
          <w:rFonts w:eastAsia="Times New Roman"/>
          <w:sz w:val="24"/>
          <w:szCs w:val="24"/>
        </w:rPr>
      </w:pPr>
      <w:r>
        <w:rPr>
          <w:rFonts w:eastAsia="Times New Roman"/>
          <w:sz w:val="24"/>
          <w:szCs w:val="24"/>
        </w:rPr>
        <w:t>Локални орган управе надлежан за финансије односно Одсек за буџет и трезор у недостатку конкретних смерница за достављање упутства за припрему нацрта буџета локалне власти као и предлога финансијских планова директних корисника средстава буџета локалне вла</w:t>
      </w:r>
      <w:r w:rsidR="00C627FB">
        <w:rPr>
          <w:rFonts w:eastAsia="Times New Roman"/>
          <w:sz w:val="24"/>
          <w:szCs w:val="24"/>
        </w:rPr>
        <w:t>сти, израдио</w:t>
      </w:r>
      <w:r>
        <w:rPr>
          <w:rFonts w:eastAsia="Times New Roman"/>
          <w:sz w:val="24"/>
          <w:szCs w:val="24"/>
        </w:rPr>
        <w:t xml:space="preserve"> је ово Упутство у складу са </w:t>
      </w:r>
      <w:r w:rsidR="0063574C">
        <w:rPr>
          <w:rFonts w:eastAsia="Times New Roman"/>
          <w:sz w:val="24"/>
          <w:szCs w:val="24"/>
        </w:rPr>
        <w:t>Фискалном стратегијом</w:t>
      </w:r>
      <w:r w:rsidR="00C627FB">
        <w:rPr>
          <w:rFonts w:eastAsia="Times New Roman"/>
          <w:sz w:val="24"/>
          <w:szCs w:val="24"/>
        </w:rPr>
        <w:t xml:space="preserve"> за 2018.годину са пројекцијама за 2019. и 2020.</w:t>
      </w:r>
      <w:r w:rsidR="0063574C" w:rsidRPr="0063574C">
        <w:rPr>
          <w:rFonts w:eastAsia="Times New Roman"/>
          <w:sz w:val="24"/>
          <w:szCs w:val="24"/>
        </w:rPr>
        <w:t xml:space="preserve"> годину </w:t>
      </w:r>
      <w:r w:rsidR="0063574C">
        <w:rPr>
          <w:rFonts w:eastAsia="Times New Roman"/>
          <w:sz w:val="24"/>
          <w:szCs w:val="24"/>
        </w:rPr>
        <w:t xml:space="preserve">и </w:t>
      </w:r>
      <w:r w:rsidR="0063574C" w:rsidRPr="0063574C">
        <w:rPr>
          <w:rFonts w:eastAsia="Times New Roman"/>
          <w:sz w:val="24"/>
          <w:szCs w:val="24"/>
        </w:rPr>
        <w:t>Упутства за припрему Одлуке</w:t>
      </w:r>
      <w:r w:rsidR="00C627FB">
        <w:rPr>
          <w:rFonts w:eastAsia="Times New Roman"/>
          <w:sz w:val="24"/>
          <w:szCs w:val="24"/>
        </w:rPr>
        <w:t xml:space="preserve"> о буџету локалне власти за 2018</w:t>
      </w:r>
      <w:r w:rsidR="0063574C" w:rsidRPr="0063574C">
        <w:rPr>
          <w:rFonts w:eastAsia="Times New Roman"/>
          <w:sz w:val="24"/>
          <w:szCs w:val="24"/>
        </w:rPr>
        <w:t>.годину</w:t>
      </w:r>
      <w:r w:rsidR="000968FA">
        <w:rPr>
          <w:rFonts w:eastAsia="Times New Roman"/>
          <w:sz w:val="24"/>
          <w:szCs w:val="24"/>
        </w:rPr>
        <w:t xml:space="preserve"> које је донело Министарство финансија</w:t>
      </w:r>
      <w:r w:rsidR="0063574C">
        <w:rPr>
          <w:rFonts w:eastAsia="Times New Roman"/>
          <w:sz w:val="24"/>
          <w:szCs w:val="24"/>
        </w:rPr>
        <w:t>.</w:t>
      </w:r>
    </w:p>
    <w:p w:rsidR="0039382F" w:rsidRDefault="002D770A">
      <w:pPr>
        <w:spacing w:line="255" w:lineRule="auto"/>
        <w:ind w:firstLine="720"/>
        <w:jc w:val="both"/>
        <w:rPr>
          <w:sz w:val="20"/>
          <w:szCs w:val="20"/>
        </w:rPr>
      </w:pPr>
      <w:r>
        <w:rPr>
          <w:rFonts w:eastAsia="Times New Roman"/>
          <w:sz w:val="24"/>
          <w:szCs w:val="24"/>
        </w:rPr>
        <w:t xml:space="preserve">Узимајући у обзир наведен чињенице и законску обавезу израде </w:t>
      </w:r>
      <w:r w:rsidR="00415C5C">
        <w:rPr>
          <w:rFonts w:eastAsia="Times New Roman"/>
          <w:sz w:val="24"/>
          <w:szCs w:val="24"/>
        </w:rPr>
        <w:t>Упутства за припре</w:t>
      </w:r>
      <w:r w:rsidR="00C627FB">
        <w:rPr>
          <w:rFonts w:eastAsia="Times New Roman"/>
          <w:sz w:val="24"/>
          <w:szCs w:val="24"/>
        </w:rPr>
        <w:t>му буџета локалне власти за 2019</w:t>
      </w:r>
      <w:r w:rsidR="00415C5C">
        <w:rPr>
          <w:rFonts w:eastAsia="Times New Roman"/>
          <w:sz w:val="24"/>
          <w:szCs w:val="24"/>
        </w:rPr>
        <w:t>.годину на основу познатих параметара дају се следеће смернице директним и индиректним корисницима средстава буџета општине Мало Црниће за састављање предлога финансијског пл</w:t>
      </w:r>
      <w:r w:rsidR="00C627FB">
        <w:rPr>
          <w:rFonts w:eastAsia="Times New Roman"/>
          <w:sz w:val="24"/>
          <w:szCs w:val="24"/>
        </w:rPr>
        <w:t>ана за 2019</w:t>
      </w:r>
      <w:r w:rsidR="00415C5C">
        <w:rPr>
          <w:rFonts w:eastAsia="Times New Roman"/>
          <w:sz w:val="24"/>
          <w:szCs w:val="24"/>
        </w:rPr>
        <w:t>.годину и пројекције за наредне две године а у складу са ч</w:t>
      </w:r>
      <w:r w:rsidR="00D142B4">
        <w:rPr>
          <w:rFonts w:eastAsia="Times New Roman"/>
          <w:sz w:val="24"/>
          <w:szCs w:val="24"/>
        </w:rPr>
        <w:t>ланом 40. Закона о буџетском систему</w:t>
      </w:r>
      <w:r w:rsidR="00415C5C">
        <w:rPr>
          <w:rFonts w:eastAsia="Times New Roman"/>
          <w:sz w:val="24"/>
          <w:szCs w:val="24"/>
        </w:rPr>
        <w:t xml:space="preserve"> које садржи</w:t>
      </w:r>
      <w:r w:rsidR="00D142B4">
        <w:rPr>
          <w:rFonts w:eastAsia="Times New Roman"/>
          <w:sz w:val="24"/>
          <w:szCs w:val="24"/>
        </w:rPr>
        <w:t>:</w:t>
      </w:r>
    </w:p>
    <w:p w:rsidR="0039382F" w:rsidRDefault="0039382F">
      <w:pPr>
        <w:spacing w:line="241" w:lineRule="exact"/>
        <w:rPr>
          <w:sz w:val="20"/>
          <w:szCs w:val="20"/>
        </w:rPr>
      </w:pPr>
    </w:p>
    <w:p w:rsidR="0039382F" w:rsidRDefault="00D142B4" w:rsidP="00C627FB">
      <w:pPr>
        <w:numPr>
          <w:ilvl w:val="0"/>
          <w:numId w:val="2"/>
        </w:numPr>
        <w:tabs>
          <w:tab w:val="left" w:pos="840"/>
        </w:tabs>
        <w:spacing w:line="255" w:lineRule="auto"/>
        <w:ind w:left="840" w:hanging="363"/>
        <w:jc w:val="both"/>
        <w:rPr>
          <w:rFonts w:ascii="Arial" w:eastAsia="Arial" w:hAnsi="Arial" w:cs="Arial"/>
          <w:sz w:val="24"/>
          <w:szCs w:val="24"/>
        </w:rPr>
      </w:pPr>
      <w:r>
        <w:rPr>
          <w:rFonts w:eastAsia="Times New Roman"/>
          <w:sz w:val="24"/>
          <w:szCs w:val="24"/>
        </w:rPr>
        <w:t>основне економске претпоставке и смернице за припрему нацрта буџета локалне власти;</w:t>
      </w:r>
    </w:p>
    <w:p w:rsidR="0039382F" w:rsidRDefault="00D142B4" w:rsidP="00C627FB">
      <w:pPr>
        <w:numPr>
          <w:ilvl w:val="0"/>
          <w:numId w:val="2"/>
        </w:numPr>
        <w:tabs>
          <w:tab w:val="left" w:pos="840"/>
        </w:tabs>
        <w:ind w:left="840" w:hanging="363"/>
        <w:jc w:val="both"/>
        <w:rPr>
          <w:rFonts w:ascii="Arial" w:eastAsia="Arial" w:hAnsi="Arial" w:cs="Arial"/>
          <w:sz w:val="24"/>
          <w:szCs w:val="24"/>
        </w:rPr>
      </w:pPr>
      <w:r>
        <w:rPr>
          <w:rFonts w:eastAsia="Times New Roman"/>
          <w:sz w:val="24"/>
          <w:szCs w:val="24"/>
        </w:rPr>
        <w:t>опис планиране политике локалне власти;</w:t>
      </w:r>
    </w:p>
    <w:p w:rsidR="0039382F" w:rsidRDefault="0039382F" w:rsidP="00C627FB">
      <w:pPr>
        <w:spacing w:line="16" w:lineRule="exact"/>
        <w:jc w:val="both"/>
        <w:rPr>
          <w:rFonts w:ascii="Arial" w:eastAsia="Arial" w:hAnsi="Arial" w:cs="Arial"/>
          <w:sz w:val="24"/>
          <w:szCs w:val="24"/>
        </w:rPr>
      </w:pPr>
    </w:p>
    <w:p w:rsidR="0039382F" w:rsidRDefault="00D142B4" w:rsidP="00C627FB">
      <w:pPr>
        <w:numPr>
          <w:ilvl w:val="0"/>
          <w:numId w:val="2"/>
        </w:numPr>
        <w:tabs>
          <w:tab w:val="left" w:pos="840"/>
        </w:tabs>
        <w:spacing w:line="246" w:lineRule="auto"/>
        <w:ind w:left="840" w:hanging="363"/>
        <w:jc w:val="both"/>
        <w:rPr>
          <w:rFonts w:ascii="Arial" w:eastAsia="Arial" w:hAnsi="Arial" w:cs="Arial"/>
          <w:sz w:val="24"/>
          <w:szCs w:val="24"/>
        </w:rPr>
      </w:pPr>
      <w:r>
        <w:rPr>
          <w:rFonts w:eastAsia="Times New Roman"/>
          <w:sz w:val="24"/>
          <w:szCs w:val="24"/>
        </w:rPr>
        <w:t>процену прихода и примања и расхода и издатака буџета локалне власти за буџетску и наредне две фискалне године;</w:t>
      </w:r>
    </w:p>
    <w:p w:rsidR="0039382F" w:rsidRDefault="00D142B4" w:rsidP="00C627FB">
      <w:pPr>
        <w:numPr>
          <w:ilvl w:val="0"/>
          <w:numId w:val="2"/>
        </w:numPr>
        <w:tabs>
          <w:tab w:val="left" w:pos="840"/>
        </w:tabs>
        <w:spacing w:line="244" w:lineRule="auto"/>
        <w:ind w:left="840" w:hanging="363"/>
        <w:jc w:val="both"/>
        <w:rPr>
          <w:rFonts w:ascii="Arial" w:eastAsia="Arial" w:hAnsi="Arial" w:cs="Arial"/>
          <w:sz w:val="24"/>
          <w:szCs w:val="24"/>
        </w:rPr>
      </w:pPr>
      <w:r>
        <w:rPr>
          <w:rFonts w:eastAsia="Times New Roman"/>
          <w:sz w:val="24"/>
          <w:szCs w:val="24"/>
        </w:rPr>
        <w:t>обим средстава које може да садрж</w:t>
      </w:r>
      <w:r w:rsidR="00C627FB">
        <w:rPr>
          <w:rFonts w:eastAsia="Times New Roman"/>
          <w:sz w:val="24"/>
          <w:szCs w:val="24"/>
        </w:rPr>
        <w:t>и предлог финансијских планова</w:t>
      </w:r>
      <w:r>
        <w:rPr>
          <w:rFonts w:eastAsia="Times New Roman"/>
          <w:sz w:val="24"/>
          <w:szCs w:val="24"/>
        </w:rPr>
        <w:t xml:space="preserve"> директних и индиректних буџетских корисника за буџетску годину, са пројекцијама за наредне две фискалне године;</w:t>
      </w:r>
    </w:p>
    <w:p w:rsidR="0039382F" w:rsidRDefault="0039382F" w:rsidP="00C627FB">
      <w:pPr>
        <w:spacing w:line="3" w:lineRule="exact"/>
        <w:jc w:val="both"/>
        <w:rPr>
          <w:rFonts w:ascii="Arial" w:eastAsia="Arial" w:hAnsi="Arial" w:cs="Arial"/>
          <w:sz w:val="24"/>
          <w:szCs w:val="24"/>
        </w:rPr>
      </w:pPr>
    </w:p>
    <w:p w:rsidR="0039382F" w:rsidRDefault="00D142B4" w:rsidP="00C627FB">
      <w:pPr>
        <w:numPr>
          <w:ilvl w:val="0"/>
          <w:numId w:val="2"/>
        </w:numPr>
        <w:tabs>
          <w:tab w:val="left" w:pos="840"/>
        </w:tabs>
        <w:spacing w:line="246" w:lineRule="auto"/>
        <w:ind w:left="840" w:hanging="363"/>
        <w:jc w:val="both"/>
        <w:rPr>
          <w:rFonts w:ascii="Arial" w:eastAsia="Arial" w:hAnsi="Arial" w:cs="Arial"/>
          <w:sz w:val="24"/>
          <w:szCs w:val="24"/>
        </w:rPr>
      </w:pPr>
      <w:r>
        <w:rPr>
          <w:rFonts w:eastAsia="Times New Roman"/>
          <w:sz w:val="24"/>
          <w:szCs w:val="24"/>
        </w:rPr>
        <w:t>смернице за припрему средњорочних планова директних корисника средстава буџета локалних власти;</w:t>
      </w:r>
    </w:p>
    <w:p w:rsidR="0039382F" w:rsidRDefault="0039382F" w:rsidP="00C627FB">
      <w:pPr>
        <w:spacing w:line="1" w:lineRule="exact"/>
        <w:jc w:val="both"/>
        <w:rPr>
          <w:rFonts w:ascii="Arial" w:eastAsia="Arial" w:hAnsi="Arial" w:cs="Arial"/>
          <w:sz w:val="24"/>
          <w:szCs w:val="24"/>
        </w:rPr>
      </w:pPr>
    </w:p>
    <w:p w:rsidR="0039382F" w:rsidRPr="00415C5C" w:rsidRDefault="00D142B4" w:rsidP="00C627FB">
      <w:pPr>
        <w:numPr>
          <w:ilvl w:val="0"/>
          <w:numId w:val="2"/>
        </w:numPr>
        <w:tabs>
          <w:tab w:val="left" w:pos="840"/>
        </w:tabs>
        <w:spacing w:line="253" w:lineRule="auto"/>
        <w:ind w:left="840" w:hanging="363"/>
        <w:jc w:val="both"/>
        <w:rPr>
          <w:rFonts w:ascii="Arial" w:eastAsia="Arial" w:hAnsi="Arial" w:cs="Arial"/>
          <w:sz w:val="24"/>
          <w:szCs w:val="24"/>
        </w:rPr>
      </w:pPr>
      <w:r>
        <w:rPr>
          <w:rFonts w:eastAsia="Times New Roman"/>
          <w:sz w:val="24"/>
          <w:szCs w:val="24"/>
        </w:rPr>
        <w:t>поступак и динамику припреме буџета и предлога финансијских планова директних буџетских корисника.</w:t>
      </w:r>
    </w:p>
    <w:p w:rsidR="004334E6" w:rsidRPr="00C627FB" w:rsidRDefault="004334E6">
      <w:pPr>
        <w:spacing w:line="200" w:lineRule="exact"/>
        <w:rPr>
          <w:b/>
          <w:sz w:val="20"/>
          <w:szCs w:val="20"/>
        </w:rPr>
      </w:pPr>
    </w:p>
    <w:p w:rsidR="004334E6" w:rsidRPr="004334E6" w:rsidRDefault="004334E6">
      <w:pPr>
        <w:spacing w:line="200" w:lineRule="exact"/>
        <w:rPr>
          <w:b/>
          <w:sz w:val="20"/>
          <w:szCs w:val="20"/>
        </w:rPr>
      </w:pPr>
    </w:p>
    <w:p w:rsidR="00415C5C" w:rsidRPr="00C3719F" w:rsidRDefault="00415C5C" w:rsidP="00415C5C">
      <w:pPr>
        <w:jc w:val="center"/>
        <w:rPr>
          <w:b/>
        </w:rPr>
      </w:pPr>
      <w:r w:rsidRPr="00C3719F">
        <w:rPr>
          <w:b/>
        </w:rPr>
        <w:t>ПРЕТХОДНЕ НАПОМЕНЕ</w:t>
      </w:r>
    </w:p>
    <w:p w:rsidR="00415C5C" w:rsidRPr="002E4D91" w:rsidRDefault="00415C5C" w:rsidP="00415C5C"/>
    <w:p w:rsidR="00C3719F" w:rsidRPr="00562CA4" w:rsidRDefault="002E4D91" w:rsidP="00562CA4">
      <w:pPr>
        <w:ind w:firstLine="720"/>
        <w:jc w:val="both"/>
        <w:rPr>
          <w:sz w:val="24"/>
          <w:szCs w:val="24"/>
        </w:rPr>
      </w:pPr>
      <w:r>
        <w:rPr>
          <w:sz w:val="24"/>
          <w:szCs w:val="24"/>
        </w:rPr>
        <w:t>У складу са чланом 40</w:t>
      </w:r>
      <w:r w:rsidR="00415C5C" w:rsidRPr="00C3719F">
        <w:rPr>
          <w:sz w:val="24"/>
          <w:szCs w:val="24"/>
        </w:rPr>
        <w:t>.</w:t>
      </w:r>
      <w:r w:rsidR="00BB53D5">
        <w:rPr>
          <w:sz w:val="24"/>
          <w:szCs w:val="24"/>
        </w:rPr>
        <w:t xml:space="preserve"> </w:t>
      </w:r>
      <w:r w:rsidR="00415C5C" w:rsidRPr="00C3719F">
        <w:rPr>
          <w:sz w:val="24"/>
          <w:szCs w:val="24"/>
        </w:rPr>
        <w:t>Закона о буџетском систему директни</w:t>
      </w:r>
      <w:r w:rsidR="000968FA">
        <w:rPr>
          <w:sz w:val="24"/>
          <w:szCs w:val="24"/>
        </w:rPr>
        <w:t xml:space="preserve"> </w:t>
      </w:r>
      <w:r w:rsidR="00415C5C" w:rsidRPr="00C3719F">
        <w:rPr>
          <w:sz w:val="24"/>
          <w:szCs w:val="24"/>
        </w:rPr>
        <w:t>и  индиректни</w:t>
      </w:r>
      <w:r w:rsidR="00C3719F" w:rsidRPr="00C3719F">
        <w:rPr>
          <w:sz w:val="24"/>
          <w:szCs w:val="24"/>
        </w:rPr>
        <w:t xml:space="preserve"> </w:t>
      </w:r>
      <w:r w:rsidR="000968FA">
        <w:rPr>
          <w:sz w:val="24"/>
          <w:szCs w:val="24"/>
        </w:rPr>
        <w:t>кор</w:t>
      </w:r>
      <w:r w:rsidR="00C3719F" w:rsidRPr="00C3719F">
        <w:rPr>
          <w:sz w:val="24"/>
          <w:szCs w:val="24"/>
        </w:rPr>
        <w:t>исници средстава буџета општине Мало Цр</w:t>
      </w:r>
      <w:r>
        <w:rPr>
          <w:sz w:val="24"/>
          <w:szCs w:val="24"/>
        </w:rPr>
        <w:t>н</w:t>
      </w:r>
      <w:r w:rsidR="00C3719F" w:rsidRPr="00C3719F">
        <w:rPr>
          <w:sz w:val="24"/>
          <w:szCs w:val="24"/>
        </w:rPr>
        <w:t>иће припремају пр</w:t>
      </w:r>
      <w:r w:rsidR="00BB53D5">
        <w:rPr>
          <w:sz w:val="24"/>
          <w:szCs w:val="24"/>
        </w:rPr>
        <w:t>едлог финансијског плана за 2019</w:t>
      </w:r>
      <w:r w:rsidR="00C3719F" w:rsidRPr="00C3719F">
        <w:rPr>
          <w:sz w:val="24"/>
          <w:szCs w:val="24"/>
        </w:rPr>
        <w:t>.</w:t>
      </w:r>
      <w:r w:rsidR="00BB53D5">
        <w:rPr>
          <w:sz w:val="24"/>
          <w:szCs w:val="24"/>
        </w:rPr>
        <w:t xml:space="preserve"> годину са пројекцијама за 2020. и 2021</w:t>
      </w:r>
      <w:r w:rsidR="00C3719F" w:rsidRPr="00C3719F">
        <w:rPr>
          <w:sz w:val="24"/>
          <w:szCs w:val="24"/>
        </w:rPr>
        <w:t>.годину</w:t>
      </w:r>
      <w:r w:rsidR="000968FA">
        <w:rPr>
          <w:sz w:val="24"/>
          <w:szCs w:val="24"/>
        </w:rPr>
        <w:t xml:space="preserve"> </w:t>
      </w:r>
      <w:r w:rsidR="00C3719F" w:rsidRPr="00C3719F">
        <w:rPr>
          <w:sz w:val="24"/>
          <w:szCs w:val="24"/>
        </w:rPr>
        <w:t>и достављају га Одсеку за буџет и трезор ка</w:t>
      </w:r>
      <w:r>
        <w:rPr>
          <w:sz w:val="24"/>
          <w:szCs w:val="24"/>
        </w:rPr>
        <w:t>о надлежном органу за финансије до 01.</w:t>
      </w:r>
      <w:r w:rsidR="00BB53D5">
        <w:rPr>
          <w:sz w:val="24"/>
          <w:szCs w:val="24"/>
        </w:rPr>
        <w:t xml:space="preserve"> </w:t>
      </w:r>
      <w:r>
        <w:rPr>
          <w:sz w:val="24"/>
          <w:szCs w:val="24"/>
        </w:rPr>
        <w:t>септембра текуће године. Локални орган управе надлежан за финансије до 15.октобра текуће године треба да достави нацрт Одлуке о буџету надлежном извршном органу</w:t>
      </w:r>
      <w:r w:rsidR="00CA7CA8">
        <w:rPr>
          <w:sz w:val="24"/>
          <w:szCs w:val="24"/>
        </w:rPr>
        <w:t>. Извршни орган локалне власти утврђује предлог Одлуке о буџету и доставља га скупштини до 01.</w:t>
      </w:r>
      <w:r w:rsidR="004664AE">
        <w:rPr>
          <w:sz w:val="24"/>
          <w:szCs w:val="24"/>
        </w:rPr>
        <w:t xml:space="preserve"> </w:t>
      </w:r>
      <w:r w:rsidR="00EE2D6D">
        <w:rPr>
          <w:sz w:val="24"/>
          <w:szCs w:val="24"/>
        </w:rPr>
        <w:t>новембра</w:t>
      </w:r>
      <w:r w:rsidR="00CA7CA8">
        <w:rPr>
          <w:sz w:val="24"/>
          <w:szCs w:val="24"/>
        </w:rPr>
        <w:t>. Скупштина општине до 20.</w:t>
      </w:r>
      <w:r w:rsidR="004664AE">
        <w:rPr>
          <w:sz w:val="24"/>
          <w:szCs w:val="24"/>
        </w:rPr>
        <w:t xml:space="preserve"> </w:t>
      </w:r>
      <w:r w:rsidR="005E0852">
        <w:rPr>
          <w:sz w:val="24"/>
          <w:szCs w:val="24"/>
        </w:rPr>
        <w:t xml:space="preserve">децембра текуће године усваја </w:t>
      </w:r>
      <w:r w:rsidR="005E0852">
        <w:rPr>
          <w:sz w:val="24"/>
          <w:szCs w:val="24"/>
          <w:lang/>
        </w:rPr>
        <w:t>О</w:t>
      </w:r>
      <w:proofErr w:type="spellStart"/>
      <w:r w:rsidR="00CA7CA8">
        <w:rPr>
          <w:sz w:val="24"/>
          <w:szCs w:val="24"/>
        </w:rPr>
        <w:t>длуку</w:t>
      </w:r>
      <w:proofErr w:type="spellEnd"/>
      <w:r w:rsidR="00CA7CA8">
        <w:rPr>
          <w:sz w:val="24"/>
          <w:szCs w:val="24"/>
        </w:rPr>
        <w:t xml:space="preserve"> о буџету и доставља Министарству финансија до 25.</w:t>
      </w:r>
      <w:r w:rsidR="004664AE">
        <w:rPr>
          <w:sz w:val="24"/>
          <w:szCs w:val="24"/>
        </w:rPr>
        <w:t xml:space="preserve"> </w:t>
      </w:r>
      <w:r w:rsidR="00CA7CA8">
        <w:rPr>
          <w:sz w:val="24"/>
          <w:szCs w:val="24"/>
        </w:rPr>
        <w:t>децембра текуће године.</w:t>
      </w:r>
    </w:p>
    <w:p w:rsidR="00C3719F" w:rsidRPr="00562CA4" w:rsidRDefault="00C3719F" w:rsidP="00562CA4">
      <w:pPr>
        <w:ind w:firstLine="720"/>
        <w:jc w:val="both"/>
        <w:rPr>
          <w:sz w:val="24"/>
          <w:szCs w:val="24"/>
        </w:rPr>
      </w:pPr>
      <w:r>
        <w:rPr>
          <w:sz w:val="24"/>
          <w:szCs w:val="24"/>
        </w:rPr>
        <w:lastRenderedPageBreak/>
        <w:t>У припреми Нацрта Одлуке о буџету локалне власти и предлога финансијских планова, обавеза је да сви буџетски корисници исказују своје буџете на програмс</w:t>
      </w:r>
      <w:r w:rsidR="00562CA4">
        <w:rPr>
          <w:sz w:val="24"/>
          <w:szCs w:val="24"/>
        </w:rPr>
        <w:t>ки начин.</w:t>
      </w:r>
    </w:p>
    <w:p w:rsidR="00F637CD" w:rsidRPr="00C627FB" w:rsidRDefault="00C3719F" w:rsidP="00C627FB">
      <w:pPr>
        <w:ind w:firstLine="720"/>
        <w:jc w:val="both"/>
        <w:rPr>
          <w:sz w:val="24"/>
          <w:szCs w:val="24"/>
        </w:rPr>
      </w:pPr>
      <w:r>
        <w:rPr>
          <w:sz w:val="24"/>
          <w:szCs w:val="24"/>
        </w:rPr>
        <w:t xml:space="preserve">У </w:t>
      </w:r>
      <w:r w:rsidR="000968FA">
        <w:rPr>
          <w:sz w:val="24"/>
          <w:szCs w:val="24"/>
        </w:rPr>
        <w:t>складу са чланом 2.</w:t>
      </w:r>
      <w:r w:rsidR="00EE2D6D">
        <w:rPr>
          <w:sz w:val="24"/>
          <w:szCs w:val="24"/>
        </w:rPr>
        <w:t xml:space="preserve"> </w:t>
      </w:r>
      <w:r w:rsidR="000968FA">
        <w:rPr>
          <w:sz w:val="24"/>
          <w:szCs w:val="24"/>
        </w:rPr>
        <w:t>З</w:t>
      </w:r>
      <w:r w:rsidR="003157F5">
        <w:rPr>
          <w:sz w:val="24"/>
          <w:szCs w:val="24"/>
        </w:rPr>
        <w:t>акона о буџетском систему програмски део буџета је саставни део посебног дела буџета који садржи програме и програмске активности корисника буџетских средстава</w:t>
      </w:r>
      <w:r w:rsidR="00EE2D6D">
        <w:rPr>
          <w:sz w:val="24"/>
          <w:szCs w:val="24"/>
        </w:rPr>
        <w:t>,</w:t>
      </w:r>
      <w:r w:rsidR="003157F5">
        <w:rPr>
          <w:sz w:val="24"/>
          <w:szCs w:val="24"/>
        </w:rPr>
        <w:t xml:space="preserve"> а који се спроводе у циљу ефикасног управљања средствима по предложеним програмима</w:t>
      </w:r>
      <w:r w:rsidR="00EC6168">
        <w:rPr>
          <w:sz w:val="24"/>
          <w:szCs w:val="24"/>
        </w:rPr>
        <w:t>,</w:t>
      </w:r>
      <w:r w:rsidR="00BE59DB">
        <w:rPr>
          <w:sz w:val="24"/>
          <w:szCs w:val="24"/>
        </w:rPr>
        <w:t xml:space="preserve"> а који доприносе остваривању стратешких циљева.</w:t>
      </w:r>
    </w:p>
    <w:p w:rsidR="00F637CD" w:rsidRPr="00F637CD" w:rsidRDefault="00F637CD" w:rsidP="00C3719F">
      <w:pPr>
        <w:jc w:val="both"/>
        <w:rPr>
          <w:sz w:val="24"/>
          <w:szCs w:val="24"/>
        </w:rPr>
      </w:pPr>
    </w:p>
    <w:p w:rsidR="00B06672" w:rsidRDefault="00410F3B" w:rsidP="00B06672">
      <w:pPr>
        <w:jc w:val="center"/>
        <w:rPr>
          <w:b/>
          <w:sz w:val="24"/>
          <w:szCs w:val="24"/>
        </w:rPr>
      </w:pPr>
      <w:r>
        <w:rPr>
          <w:b/>
          <w:sz w:val="24"/>
          <w:szCs w:val="24"/>
        </w:rPr>
        <w:t>1</w:t>
      </w:r>
      <w:r w:rsidR="00B06672" w:rsidRPr="00B06672">
        <w:rPr>
          <w:b/>
          <w:sz w:val="24"/>
          <w:szCs w:val="24"/>
        </w:rPr>
        <w:t>.ЕКОНОМСКЕ ПРЕТПОСТАВКЕ ЗА ПРИПРЕМУ НАЦРТА ОДЛУКЕ О БУЏЕТУ З</w:t>
      </w:r>
      <w:r w:rsidR="00EE2D6D">
        <w:rPr>
          <w:b/>
          <w:sz w:val="24"/>
          <w:szCs w:val="24"/>
        </w:rPr>
        <w:t>А 201</w:t>
      </w:r>
      <w:r w:rsidR="00EC6168">
        <w:rPr>
          <w:b/>
          <w:sz w:val="24"/>
          <w:szCs w:val="24"/>
        </w:rPr>
        <w:t>8</w:t>
      </w:r>
      <w:r w:rsidR="00B06672" w:rsidRPr="00B06672">
        <w:rPr>
          <w:b/>
          <w:sz w:val="24"/>
          <w:szCs w:val="24"/>
        </w:rPr>
        <w:t>.ГОДИНУ</w:t>
      </w:r>
    </w:p>
    <w:p w:rsidR="00B06672" w:rsidRPr="00C627FB" w:rsidRDefault="00B06672" w:rsidP="00B06672">
      <w:pPr>
        <w:rPr>
          <w:sz w:val="24"/>
          <w:szCs w:val="24"/>
        </w:rPr>
      </w:pPr>
    </w:p>
    <w:p w:rsidR="00B06672" w:rsidRDefault="000F12D0" w:rsidP="00B06672">
      <w:pPr>
        <w:rPr>
          <w:sz w:val="24"/>
          <w:szCs w:val="24"/>
        </w:rPr>
      </w:pPr>
      <w:r>
        <w:rPr>
          <w:sz w:val="24"/>
          <w:szCs w:val="24"/>
        </w:rPr>
        <w:t>Основни индикатори макроекономских кретања</w:t>
      </w:r>
      <w:r w:rsidR="000968FA">
        <w:rPr>
          <w:sz w:val="24"/>
          <w:szCs w:val="24"/>
        </w:rPr>
        <w:t>:</w:t>
      </w:r>
    </w:p>
    <w:p w:rsidR="008C63AF" w:rsidRPr="008C63AF" w:rsidRDefault="008C63AF" w:rsidP="00B06672">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53"/>
        <w:gridCol w:w="1757"/>
        <w:gridCol w:w="1276"/>
        <w:gridCol w:w="1418"/>
        <w:gridCol w:w="1417"/>
        <w:gridCol w:w="1231"/>
        <w:gridCol w:w="45"/>
      </w:tblGrid>
      <w:tr w:rsidR="00DB0AAC" w:rsidTr="00DB0AAC">
        <w:trPr>
          <w:gridAfter w:val="1"/>
          <w:wAfter w:w="45" w:type="dxa"/>
          <w:trHeight w:val="90"/>
        </w:trPr>
        <w:tc>
          <w:tcPr>
            <w:tcW w:w="3510" w:type="dxa"/>
            <w:gridSpan w:val="2"/>
          </w:tcPr>
          <w:p w:rsidR="00DB0AAC" w:rsidRDefault="00DB0AAC">
            <w:pPr>
              <w:pStyle w:val="Default"/>
              <w:rPr>
                <w:sz w:val="20"/>
                <w:szCs w:val="20"/>
              </w:rPr>
            </w:pPr>
            <w:r>
              <w:rPr>
                <w:b/>
                <w:bCs/>
                <w:sz w:val="23"/>
                <w:szCs w:val="23"/>
              </w:rPr>
              <w:t xml:space="preserve">Основне макроекономске претпоставке за период 2017. – 2020. године </w:t>
            </w:r>
            <w:r>
              <w:rPr>
                <w:i/>
                <w:iCs/>
                <w:sz w:val="20"/>
                <w:szCs w:val="20"/>
              </w:rPr>
              <w:t xml:space="preserve">Исказано у процентима осим ако није другачије назначено </w:t>
            </w:r>
          </w:p>
        </w:tc>
        <w:tc>
          <w:tcPr>
            <w:tcW w:w="1276" w:type="dxa"/>
          </w:tcPr>
          <w:p w:rsidR="00DB0AAC" w:rsidRDefault="00DB0AAC">
            <w:pPr>
              <w:pStyle w:val="Default"/>
              <w:rPr>
                <w:sz w:val="20"/>
                <w:szCs w:val="20"/>
              </w:rPr>
            </w:pPr>
            <w:r>
              <w:rPr>
                <w:i/>
                <w:iCs/>
                <w:sz w:val="20"/>
                <w:szCs w:val="20"/>
              </w:rPr>
              <w:t xml:space="preserve">2017 </w:t>
            </w:r>
          </w:p>
        </w:tc>
        <w:tc>
          <w:tcPr>
            <w:tcW w:w="1418" w:type="dxa"/>
          </w:tcPr>
          <w:p w:rsidR="00DB0AAC" w:rsidRDefault="00DB0AAC">
            <w:pPr>
              <w:pStyle w:val="Default"/>
              <w:rPr>
                <w:sz w:val="20"/>
                <w:szCs w:val="20"/>
              </w:rPr>
            </w:pPr>
            <w:r>
              <w:rPr>
                <w:i/>
                <w:iCs/>
                <w:sz w:val="20"/>
                <w:szCs w:val="20"/>
              </w:rPr>
              <w:t xml:space="preserve">2018 </w:t>
            </w:r>
          </w:p>
        </w:tc>
        <w:tc>
          <w:tcPr>
            <w:tcW w:w="1417" w:type="dxa"/>
          </w:tcPr>
          <w:p w:rsidR="00DB0AAC" w:rsidRDefault="00DB0AAC">
            <w:pPr>
              <w:pStyle w:val="Default"/>
              <w:rPr>
                <w:sz w:val="20"/>
                <w:szCs w:val="20"/>
              </w:rPr>
            </w:pPr>
            <w:r>
              <w:rPr>
                <w:i/>
                <w:iCs/>
                <w:sz w:val="20"/>
                <w:szCs w:val="20"/>
              </w:rPr>
              <w:t xml:space="preserve">2019 </w:t>
            </w:r>
          </w:p>
        </w:tc>
        <w:tc>
          <w:tcPr>
            <w:tcW w:w="1231" w:type="dxa"/>
          </w:tcPr>
          <w:p w:rsidR="00DB0AAC" w:rsidRDefault="00DB0AAC">
            <w:pPr>
              <w:pStyle w:val="Default"/>
              <w:rPr>
                <w:sz w:val="20"/>
                <w:szCs w:val="20"/>
              </w:rPr>
            </w:pPr>
            <w:r>
              <w:rPr>
                <w:i/>
                <w:iCs/>
                <w:sz w:val="20"/>
                <w:szCs w:val="20"/>
              </w:rPr>
              <w:t xml:space="preserve">2020 </w:t>
            </w:r>
          </w:p>
        </w:tc>
      </w:tr>
      <w:tr w:rsidR="00DB0AAC" w:rsidTr="00DB0AAC">
        <w:trPr>
          <w:gridAfter w:val="1"/>
          <w:wAfter w:w="45" w:type="dxa"/>
          <w:trHeight w:val="90"/>
        </w:trPr>
        <w:tc>
          <w:tcPr>
            <w:tcW w:w="3510" w:type="dxa"/>
            <w:gridSpan w:val="2"/>
          </w:tcPr>
          <w:p w:rsidR="00DB0AAC" w:rsidRDefault="00DB0AAC">
            <w:pPr>
              <w:pStyle w:val="Default"/>
              <w:rPr>
                <w:sz w:val="20"/>
                <w:szCs w:val="20"/>
              </w:rPr>
            </w:pPr>
            <w:r>
              <w:rPr>
                <w:i/>
                <w:iCs/>
                <w:sz w:val="20"/>
                <w:szCs w:val="20"/>
              </w:rPr>
              <w:t xml:space="preserve">Стопа реалног раста БДП </w:t>
            </w:r>
          </w:p>
        </w:tc>
        <w:tc>
          <w:tcPr>
            <w:tcW w:w="1276" w:type="dxa"/>
          </w:tcPr>
          <w:p w:rsidR="00DB0AAC" w:rsidRDefault="00DB0AAC">
            <w:pPr>
              <w:pStyle w:val="Default"/>
              <w:rPr>
                <w:sz w:val="20"/>
                <w:szCs w:val="20"/>
              </w:rPr>
            </w:pPr>
            <w:r>
              <w:rPr>
                <w:i/>
                <w:iCs/>
                <w:sz w:val="20"/>
                <w:szCs w:val="20"/>
              </w:rPr>
              <w:t xml:space="preserve">2,0 </w:t>
            </w:r>
          </w:p>
        </w:tc>
        <w:tc>
          <w:tcPr>
            <w:tcW w:w="1418" w:type="dxa"/>
          </w:tcPr>
          <w:p w:rsidR="00DB0AAC" w:rsidRDefault="00DB0AAC">
            <w:pPr>
              <w:pStyle w:val="Default"/>
              <w:rPr>
                <w:sz w:val="20"/>
                <w:szCs w:val="20"/>
              </w:rPr>
            </w:pPr>
            <w:r>
              <w:rPr>
                <w:i/>
                <w:iCs/>
                <w:sz w:val="20"/>
                <w:szCs w:val="20"/>
              </w:rPr>
              <w:t xml:space="preserve">3,5 </w:t>
            </w:r>
          </w:p>
        </w:tc>
        <w:tc>
          <w:tcPr>
            <w:tcW w:w="1417" w:type="dxa"/>
          </w:tcPr>
          <w:p w:rsidR="00DB0AAC" w:rsidRDefault="00DB0AAC">
            <w:pPr>
              <w:pStyle w:val="Default"/>
              <w:rPr>
                <w:sz w:val="20"/>
                <w:szCs w:val="20"/>
              </w:rPr>
            </w:pPr>
            <w:r>
              <w:rPr>
                <w:i/>
                <w:iCs/>
                <w:sz w:val="20"/>
                <w:szCs w:val="20"/>
              </w:rPr>
              <w:t xml:space="preserve">3,5 </w:t>
            </w:r>
          </w:p>
        </w:tc>
        <w:tc>
          <w:tcPr>
            <w:tcW w:w="1231" w:type="dxa"/>
          </w:tcPr>
          <w:p w:rsidR="00DB0AAC" w:rsidRDefault="00DB0AAC">
            <w:pPr>
              <w:pStyle w:val="Default"/>
              <w:rPr>
                <w:sz w:val="20"/>
                <w:szCs w:val="20"/>
              </w:rPr>
            </w:pPr>
            <w:r>
              <w:rPr>
                <w:i/>
                <w:iCs/>
                <w:sz w:val="20"/>
                <w:szCs w:val="20"/>
              </w:rPr>
              <w:t xml:space="preserve">4,0 </w:t>
            </w:r>
          </w:p>
        </w:tc>
      </w:tr>
      <w:tr w:rsidR="00DB0AAC" w:rsidTr="00DB0AAC">
        <w:trPr>
          <w:gridAfter w:val="1"/>
          <w:wAfter w:w="45" w:type="dxa"/>
          <w:trHeight w:val="90"/>
        </w:trPr>
        <w:tc>
          <w:tcPr>
            <w:tcW w:w="3510" w:type="dxa"/>
            <w:gridSpan w:val="2"/>
          </w:tcPr>
          <w:p w:rsidR="00DB0AAC" w:rsidRDefault="00DB0AAC">
            <w:pPr>
              <w:pStyle w:val="Default"/>
              <w:rPr>
                <w:sz w:val="20"/>
                <w:szCs w:val="20"/>
              </w:rPr>
            </w:pPr>
            <w:r>
              <w:rPr>
                <w:i/>
                <w:iCs/>
                <w:sz w:val="20"/>
                <w:szCs w:val="20"/>
              </w:rPr>
              <w:t xml:space="preserve">БДП у текућим тржишним ценама (у </w:t>
            </w:r>
            <w:proofErr w:type="spellStart"/>
            <w:r>
              <w:rPr>
                <w:i/>
                <w:iCs/>
                <w:sz w:val="20"/>
                <w:szCs w:val="20"/>
              </w:rPr>
              <w:t>млрд</w:t>
            </w:r>
            <w:proofErr w:type="spellEnd"/>
            <w:r>
              <w:rPr>
                <w:i/>
                <w:iCs/>
                <w:sz w:val="20"/>
                <w:szCs w:val="20"/>
              </w:rPr>
              <w:t xml:space="preserve"> РСД) </w:t>
            </w:r>
          </w:p>
        </w:tc>
        <w:tc>
          <w:tcPr>
            <w:tcW w:w="1276" w:type="dxa"/>
          </w:tcPr>
          <w:p w:rsidR="00DB0AAC" w:rsidRDefault="00DB0AAC">
            <w:pPr>
              <w:pStyle w:val="Default"/>
              <w:rPr>
                <w:sz w:val="20"/>
                <w:szCs w:val="20"/>
              </w:rPr>
            </w:pPr>
            <w:r>
              <w:rPr>
                <w:i/>
                <w:iCs/>
                <w:sz w:val="20"/>
                <w:szCs w:val="20"/>
              </w:rPr>
              <w:t xml:space="preserve">4469 </w:t>
            </w:r>
          </w:p>
        </w:tc>
        <w:tc>
          <w:tcPr>
            <w:tcW w:w="1418" w:type="dxa"/>
          </w:tcPr>
          <w:p w:rsidR="00DB0AAC" w:rsidRDefault="00DB0AAC">
            <w:pPr>
              <w:pStyle w:val="Default"/>
              <w:rPr>
                <w:sz w:val="20"/>
                <w:szCs w:val="20"/>
              </w:rPr>
            </w:pPr>
            <w:r>
              <w:rPr>
                <w:i/>
                <w:iCs/>
                <w:sz w:val="20"/>
                <w:szCs w:val="20"/>
              </w:rPr>
              <w:t xml:space="preserve">4755 </w:t>
            </w:r>
          </w:p>
        </w:tc>
        <w:tc>
          <w:tcPr>
            <w:tcW w:w="1417" w:type="dxa"/>
          </w:tcPr>
          <w:p w:rsidR="00DB0AAC" w:rsidRDefault="00DB0AAC">
            <w:pPr>
              <w:pStyle w:val="Default"/>
              <w:rPr>
                <w:sz w:val="20"/>
                <w:szCs w:val="20"/>
              </w:rPr>
            </w:pPr>
            <w:r>
              <w:rPr>
                <w:i/>
                <w:iCs/>
                <w:sz w:val="20"/>
                <w:szCs w:val="20"/>
              </w:rPr>
              <w:t xml:space="preserve">5057 </w:t>
            </w:r>
          </w:p>
        </w:tc>
        <w:tc>
          <w:tcPr>
            <w:tcW w:w="1231" w:type="dxa"/>
          </w:tcPr>
          <w:p w:rsidR="00DB0AAC" w:rsidRDefault="00DB0AAC">
            <w:pPr>
              <w:pStyle w:val="Default"/>
              <w:rPr>
                <w:sz w:val="20"/>
                <w:szCs w:val="20"/>
              </w:rPr>
            </w:pPr>
            <w:r>
              <w:rPr>
                <w:i/>
                <w:iCs/>
                <w:sz w:val="20"/>
                <w:szCs w:val="20"/>
              </w:rPr>
              <w:t xml:space="preserve">5417 </w:t>
            </w:r>
          </w:p>
        </w:tc>
      </w:tr>
      <w:tr w:rsidR="00DB0AAC" w:rsidTr="00DB0AAC">
        <w:trPr>
          <w:gridAfter w:val="1"/>
          <w:wAfter w:w="45" w:type="dxa"/>
          <w:trHeight w:val="88"/>
        </w:trPr>
        <w:tc>
          <w:tcPr>
            <w:tcW w:w="8852" w:type="dxa"/>
            <w:gridSpan w:val="6"/>
          </w:tcPr>
          <w:p w:rsidR="00DB0AAC" w:rsidRDefault="00DB0AAC">
            <w:pPr>
              <w:pStyle w:val="Default"/>
              <w:rPr>
                <w:sz w:val="20"/>
                <w:szCs w:val="20"/>
              </w:rPr>
            </w:pPr>
            <w:r>
              <w:rPr>
                <w:b/>
                <w:bCs/>
                <w:i/>
                <w:iCs/>
                <w:sz w:val="20"/>
                <w:szCs w:val="20"/>
              </w:rPr>
              <w:t xml:space="preserve">Извори раста: процентне промене у сталним ценама </w:t>
            </w:r>
          </w:p>
        </w:tc>
      </w:tr>
      <w:tr w:rsidR="00DB0AAC" w:rsidTr="00DB0AAC">
        <w:trPr>
          <w:gridAfter w:val="1"/>
          <w:wAfter w:w="45" w:type="dxa"/>
          <w:trHeight w:val="90"/>
        </w:trPr>
        <w:tc>
          <w:tcPr>
            <w:tcW w:w="3510" w:type="dxa"/>
            <w:gridSpan w:val="2"/>
          </w:tcPr>
          <w:p w:rsidR="00DB0AAC" w:rsidRDefault="00DB0AAC">
            <w:pPr>
              <w:pStyle w:val="Default"/>
              <w:rPr>
                <w:sz w:val="20"/>
                <w:szCs w:val="20"/>
              </w:rPr>
            </w:pPr>
            <w:r>
              <w:rPr>
                <w:i/>
                <w:iCs/>
                <w:sz w:val="20"/>
                <w:szCs w:val="20"/>
              </w:rPr>
              <w:t xml:space="preserve">Лична потрошња </w:t>
            </w:r>
          </w:p>
        </w:tc>
        <w:tc>
          <w:tcPr>
            <w:tcW w:w="1276" w:type="dxa"/>
          </w:tcPr>
          <w:p w:rsidR="00DB0AAC" w:rsidRDefault="00DB0AAC">
            <w:pPr>
              <w:pStyle w:val="Default"/>
              <w:rPr>
                <w:sz w:val="20"/>
                <w:szCs w:val="20"/>
              </w:rPr>
            </w:pPr>
            <w:r>
              <w:rPr>
                <w:i/>
                <w:iCs/>
                <w:sz w:val="20"/>
                <w:szCs w:val="20"/>
              </w:rPr>
              <w:t xml:space="preserve">1,8 </w:t>
            </w:r>
          </w:p>
        </w:tc>
        <w:tc>
          <w:tcPr>
            <w:tcW w:w="1418" w:type="dxa"/>
          </w:tcPr>
          <w:p w:rsidR="00DB0AAC" w:rsidRDefault="00DB0AAC">
            <w:pPr>
              <w:pStyle w:val="Default"/>
              <w:rPr>
                <w:sz w:val="20"/>
                <w:szCs w:val="20"/>
              </w:rPr>
            </w:pPr>
            <w:r>
              <w:rPr>
                <w:i/>
                <w:iCs/>
                <w:sz w:val="20"/>
                <w:szCs w:val="20"/>
              </w:rPr>
              <w:t xml:space="preserve">2,7 </w:t>
            </w:r>
          </w:p>
        </w:tc>
        <w:tc>
          <w:tcPr>
            <w:tcW w:w="1417" w:type="dxa"/>
          </w:tcPr>
          <w:p w:rsidR="00DB0AAC" w:rsidRDefault="00DB0AAC">
            <w:pPr>
              <w:pStyle w:val="Default"/>
              <w:rPr>
                <w:sz w:val="20"/>
                <w:szCs w:val="20"/>
              </w:rPr>
            </w:pPr>
            <w:r>
              <w:rPr>
                <w:i/>
                <w:iCs/>
                <w:sz w:val="20"/>
                <w:szCs w:val="20"/>
              </w:rPr>
              <w:t xml:space="preserve">3,4 </w:t>
            </w:r>
          </w:p>
        </w:tc>
        <w:tc>
          <w:tcPr>
            <w:tcW w:w="1231" w:type="dxa"/>
          </w:tcPr>
          <w:p w:rsidR="00DB0AAC" w:rsidRDefault="00DB0AAC">
            <w:pPr>
              <w:pStyle w:val="Default"/>
              <w:rPr>
                <w:sz w:val="20"/>
                <w:szCs w:val="20"/>
              </w:rPr>
            </w:pPr>
            <w:r>
              <w:rPr>
                <w:i/>
                <w:iCs/>
                <w:sz w:val="20"/>
                <w:szCs w:val="20"/>
              </w:rPr>
              <w:t xml:space="preserve">3,8 </w:t>
            </w:r>
          </w:p>
        </w:tc>
      </w:tr>
      <w:tr w:rsidR="00DB0AAC" w:rsidTr="00DB0AAC">
        <w:trPr>
          <w:gridAfter w:val="1"/>
          <w:wAfter w:w="45" w:type="dxa"/>
          <w:trHeight w:val="90"/>
        </w:trPr>
        <w:tc>
          <w:tcPr>
            <w:tcW w:w="3510" w:type="dxa"/>
            <w:gridSpan w:val="2"/>
          </w:tcPr>
          <w:p w:rsidR="00DB0AAC" w:rsidRDefault="00DB0AAC">
            <w:pPr>
              <w:pStyle w:val="Default"/>
              <w:rPr>
                <w:sz w:val="20"/>
                <w:szCs w:val="20"/>
              </w:rPr>
            </w:pPr>
            <w:r>
              <w:rPr>
                <w:i/>
                <w:iCs/>
                <w:sz w:val="20"/>
                <w:szCs w:val="20"/>
              </w:rPr>
              <w:t xml:space="preserve">Државна потрошња </w:t>
            </w:r>
          </w:p>
        </w:tc>
        <w:tc>
          <w:tcPr>
            <w:tcW w:w="1276" w:type="dxa"/>
          </w:tcPr>
          <w:p w:rsidR="00DB0AAC" w:rsidRDefault="00DB0AAC">
            <w:pPr>
              <w:pStyle w:val="Default"/>
              <w:rPr>
                <w:sz w:val="20"/>
                <w:szCs w:val="20"/>
              </w:rPr>
            </w:pPr>
            <w:r>
              <w:rPr>
                <w:i/>
                <w:iCs/>
                <w:sz w:val="20"/>
                <w:szCs w:val="20"/>
              </w:rPr>
              <w:t xml:space="preserve">1,4 </w:t>
            </w:r>
          </w:p>
        </w:tc>
        <w:tc>
          <w:tcPr>
            <w:tcW w:w="1418" w:type="dxa"/>
          </w:tcPr>
          <w:p w:rsidR="00DB0AAC" w:rsidRDefault="00DB0AAC">
            <w:pPr>
              <w:pStyle w:val="Default"/>
              <w:rPr>
                <w:sz w:val="20"/>
                <w:szCs w:val="20"/>
              </w:rPr>
            </w:pPr>
            <w:r>
              <w:rPr>
                <w:i/>
                <w:iCs/>
                <w:sz w:val="20"/>
                <w:szCs w:val="20"/>
              </w:rPr>
              <w:t xml:space="preserve">2,2 </w:t>
            </w:r>
          </w:p>
        </w:tc>
        <w:tc>
          <w:tcPr>
            <w:tcW w:w="1417" w:type="dxa"/>
          </w:tcPr>
          <w:p w:rsidR="00DB0AAC" w:rsidRDefault="00DB0AAC">
            <w:pPr>
              <w:pStyle w:val="Default"/>
              <w:rPr>
                <w:sz w:val="20"/>
                <w:szCs w:val="20"/>
              </w:rPr>
            </w:pPr>
            <w:r>
              <w:rPr>
                <w:i/>
                <w:iCs/>
                <w:sz w:val="20"/>
                <w:szCs w:val="20"/>
              </w:rPr>
              <w:t xml:space="preserve">1,9 </w:t>
            </w:r>
          </w:p>
        </w:tc>
        <w:tc>
          <w:tcPr>
            <w:tcW w:w="1231" w:type="dxa"/>
          </w:tcPr>
          <w:p w:rsidR="00DB0AAC" w:rsidRDefault="00DB0AAC">
            <w:pPr>
              <w:pStyle w:val="Default"/>
              <w:rPr>
                <w:sz w:val="20"/>
                <w:szCs w:val="20"/>
              </w:rPr>
            </w:pPr>
            <w:r>
              <w:rPr>
                <w:i/>
                <w:iCs/>
                <w:sz w:val="20"/>
                <w:szCs w:val="20"/>
              </w:rPr>
              <w:t xml:space="preserve">2,7 </w:t>
            </w:r>
          </w:p>
        </w:tc>
      </w:tr>
      <w:tr w:rsidR="00DB0AAC" w:rsidTr="00DB0AAC">
        <w:trPr>
          <w:gridAfter w:val="1"/>
          <w:wAfter w:w="45" w:type="dxa"/>
          <w:trHeight w:val="90"/>
        </w:trPr>
        <w:tc>
          <w:tcPr>
            <w:tcW w:w="3510" w:type="dxa"/>
            <w:gridSpan w:val="2"/>
          </w:tcPr>
          <w:p w:rsidR="00DB0AAC" w:rsidRDefault="00DB0AAC">
            <w:pPr>
              <w:pStyle w:val="Default"/>
              <w:rPr>
                <w:sz w:val="20"/>
                <w:szCs w:val="20"/>
              </w:rPr>
            </w:pPr>
            <w:r>
              <w:rPr>
                <w:i/>
                <w:iCs/>
                <w:sz w:val="20"/>
                <w:szCs w:val="20"/>
              </w:rPr>
              <w:t xml:space="preserve">Инвестиције у фиксни капитал </w:t>
            </w:r>
          </w:p>
        </w:tc>
        <w:tc>
          <w:tcPr>
            <w:tcW w:w="1276" w:type="dxa"/>
          </w:tcPr>
          <w:p w:rsidR="00DB0AAC" w:rsidRDefault="00DB0AAC">
            <w:pPr>
              <w:pStyle w:val="Default"/>
              <w:rPr>
                <w:sz w:val="20"/>
                <w:szCs w:val="20"/>
              </w:rPr>
            </w:pPr>
            <w:r>
              <w:rPr>
                <w:i/>
                <w:iCs/>
                <w:sz w:val="20"/>
                <w:szCs w:val="20"/>
              </w:rPr>
              <w:t xml:space="preserve">4,3 </w:t>
            </w:r>
          </w:p>
        </w:tc>
        <w:tc>
          <w:tcPr>
            <w:tcW w:w="1418" w:type="dxa"/>
          </w:tcPr>
          <w:p w:rsidR="00DB0AAC" w:rsidRDefault="00DB0AAC">
            <w:pPr>
              <w:pStyle w:val="Default"/>
              <w:rPr>
                <w:sz w:val="20"/>
                <w:szCs w:val="20"/>
              </w:rPr>
            </w:pPr>
            <w:r>
              <w:rPr>
                <w:i/>
                <w:iCs/>
                <w:sz w:val="20"/>
                <w:szCs w:val="20"/>
              </w:rPr>
              <w:t xml:space="preserve">5,1 </w:t>
            </w:r>
          </w:p>
        </w:tc>
        <w:tc>
          <w:tcPr>
            <w:tcW w:w="1417" w:type="dxa"/>
          </w:tcPr>
          <w:p w:rsidR="00DB0AAC" w:rsidRDefault="00DB0AAC">
            <w:pPr>
              <w:pStyle w:val="Default"/>
              <w:rPr>
                <w:sz w:val="20"/>
                <w:szCs w:val="20"/>
              </w:rPr>
            </w:pPr>
            <w:r>
              <w:rPr>
                <w:i/>
                <w:iCs/>
                <w:sz w:val="20"/>
                <w:szCs w:val="20"/>
              </w:rPr>
              <w:t xml:space="preserve">4,1 </w:t>
            </w:r>
          </w:p>
        </w:tc>
        <w:tc>
          <w:tcPr>
            <w:tcW w:w="1231" w:type="dxa"/>
          </w:tcPr>
          <w:p w:rsidR="00DB0AAC" w:rsidRDefault="00DB0AAC">
            <w:pPr>
              <w:pStyle w:val="Default"/>
              <w:rPr>
                <w:sz w:val="20"/>
                <w:szCs w:val="20"/>
              </w:rPr>
            </w:pPr>
            <w:r>
              <w:rPr>
                <w:i/>
                <w:iCs/>
                <w:sz w:val="20"/>
                <w:szCs w:val="20"/>
              </w:rPr>
              <w:t xml:space="preserve">5,3 </w:t>
            </w:r>
          </w:p>
        </w:tc>
      </w:tr>
      <w:tr w:rsidR="00DB0AAC" w:rsidTr="00DB0AAC">
        <w:trPr>
          <w:gridAfter w:val="1"/>
          <w:wAfter w:w="45" w:type="dxa"/>
          <w:trHeight w:val="90"/>
        </w:trPr>
        <w:tc>
          <w:tcPr>
            <w:tcW w:w="3510" w:type="dxa"/>
            <w:gridSpan w:val="2"/>
          </w:tcPr>
          <w:p w:rsidR="00DB0AAC" w:rsidRDefault="00DB0AAC">
            <w:pPr>
              <w:pStyle w:val="Default"/>
              <w:rPr>
                <w:sz w:val="20"/>
                <w:szCs w:val="20"/>
              </w:rPr>
            </w:pPr>
            <w:r>
              <w:rPr>
                <w:i/>
                <w:iCs/>
                <w:sz w:val="20"/>
                <w:szCs w:val="20"/>
              </w:rPr>
              <w:t xml:space="preserve">Извоз роба и услуга </w:t>
            </w:r>
          </w:p>
        </w:tc>
        <w:tc>
          <w:tcPr>
            <w:tcW w:w="1276" w:type="dxa"/>
          </w:tcPr>
          <w:p w:rsidR="00DB0AAC" w:rsidRDefault="00DB0AAC">
            <w:pPr>
              <w:pStyle w:val="Default"/>
              <w:rPr>
                <w:sz w:val="20"/>
                <w:szCs w:val="20"/>
              </w:rPr>
            </w:pPr>
            <w:r>
              <w:rPr>
                <w:i/>
                <w:iCs/>
                <w:sz w:val="20"/>
                <w:szCs w:val="20"/>
              </w:rPr>
              <w:t xml:space="preserve">10,0 </w:t>
            </w:r>
          </w:p>
        </w:tc>
        <w:tc>
          <w:tcPr>
            <w:tcW w:w="1418" w:type="dxa"/>
          </w:tcPr>
          <w:p w:rsidR="00DB0AAC" w:rsidRDefault="00DB0AAC">
            <w:pPr>
              <w:pStyle w:val="Default"/>
              <w:rPr>
                <w:sz w:val="20"/>
                <w:szCs w:val="20"/>
              </w:rPr>
            </w:pPr>
            <w:r>
              <w:rPr>
                <w:i/>
                <w:iCs/>
                <w:sz w:val="20"/>
                <w:szCs w:val="20"/>
              </w:rPr>
              <w:t xml:space="preserve">8,8 </w:t>
            </w:r>
          </w:p>
        </w:tc>
        <w:tc>
          <w:tcPr>
            <w:tcW w:w="1417" w:type="dxa"/>
          </w:tcPr>
          <w:p w:rsidR="00DB0AAC" w:rsidRDefault="00DB0AAC">
            <w:pPr>
              <w:pStyle w:val="Default"/>
              <w:rPr>
                <w:sz w:val="20"/>
                <w:szCs w:val="20"/>
              </w:rPr>
            </w:pPr>
            <w:r>
              <w:rPr>
                <w:i/>
                <w:iCs/>
                <w:sz w:val="20"/>
                <w:szCs w:val="20"/>
              </w:rPr>
              <w:t xml:space="preserve">8,4 </w:t>
            </w:r>
          </w:p>
        </w:tc>
        <w:tc>
          <w:tcPr>
            <w:tcW w:w="1231" w:type="dxa"/>
          </w:tcPr>
          <w:p w:rsidR="00DB0AAC" w:rsidRDefault="00DB0AAC">
            <w:pPr>
              <w:pStyle w:val="Default"/>
              <w:rPr>
                <w:sz w:val="20"/>
                <w:szCs w:val="20"/>
              </w:rPr>
            </w:pPr>
            <w:r>
              <w:rPr>
                <w:i/>
                <w:iCs/>
                <w:sz w:val="20"/>
                <w:szCs w:val="20"/>
              </w:rPr>
              <w:t xml:space="preserve">7,9 </w:t>
            </w:r>
          </w:p>
        </w:tc>
      </w:tr>
      <w:tr w:rsidR="00DB0AAC" w:rsidTr="00DB0AAC">
        <w:trPr>
          <w:gridAfter w:val="1"/>
          <w:wAfter w:w="45" w:type="dxa"/>
          <w:trHeight w:val="90"/>
        </w:trPr>
        <w:tc>
          <w:tcPr>
            <w:tcW w:w="3510" w:type="dxa"/>
            <w:gridSpan w:val="2"/>
          </w:tcPr>
          <w:p w:rsidR="00DB0AAC" w:rsidRDefault="00DB0AAC">
            <w:pPr>
              <w:pStyle w:val="Default"/>
              <w:rPr>
                <w:sz w:val="20"/>
                <w:szCs w:val="20"/>
              </w:rPr>
            </w:pPr>
            <w:r>
              <w:rPr>
                <w:i/>
                <w:iCs/>
                <w:sz w:val="20"/>
                <w:szCs w:val="20"/>
              </w:rPr>
              <w:t xml:space="preserve">Увоз роба и услуга </w:t>
            </w:r>
          </w:p>
        </w:tc>
        <w:tc>
          <w:tcPr>
            <w:tcW w:w="1276" w:type="dxa"/>
          </w:tcPr>
          <w:p w:rsidR="00DB0AAC" w:rsidRDefault="00DB0AAC">
            <w:pPr>
              <w:pStyle w:val="Default"/>
              <w:rPr>
                <w:sz w:val="20"/>
                <w:szCs w:val="20"/>
              </w:rPr>
            </w:pPr>
            <w:r>
              <w:rPr>
                <w:i/>
                <w:iCs/>
                <w:sz w:val="20"/>
                <w:szCs w:val="20"/>
              </w:rPr>
              <w:t xml:space="preserve">8,6 </w:t>
            </w:r>
          </w:p>
        </w:tc>
        <w:tc>
          <w:tcPr>
            <w:tcW w:w="1418" w:type="dxa"/>
          </w:tcPr>
          <w:p w:rsidR="00DB0AAC" w:rsidRDefault="00DB0AAC">
            <w:pPr>
              <w:pStyle w:val="Default"/>
              <w:rPr>
                <w:sz w:val="20"/>
                <w:szCs w:val="20"/>
              </w:rPr>
            </w:pPr>
            <w:r>
              <w:rPr>
                <w:i/>
                <w:iCs/>
                <w:sz w:val="20"/>
                <w:szCs w:val="20"/>
              </w:rPr>
              <w:t xml:space="preserve">7,0 </w:t>
            </w:r>
          </w:p>
        </w:tc>
        <w:tc>
          <w:tcPr>
            <w:tcW w:w="1417" w:type="dxa"/>
          </w:tcPr>
          <w:p w:rsidR="00DB0AAC" w:rsidRDefault="00DB0AAC">
            <w:pPr>
              <w:pStyle w:val="Default"/>
              <w:rPr>
                <w:sz w:val="20"/>
                <w:szCs w:val="20"/>
              </w:rPr>
            </w:pPr>
            <w:r>
              <w:rPr>
                <w:i/>
                <w:iCs/>
                <w:sz w:val="20"/>
                <w:szCs w:val="20"/>
              </w:rPr>
              <w:t xml:space="preserve">7,2 </w:t>
            </w:r>
          </w:p>
        </w:tc>
        <w:tc>
          <w:tcPr>
            <w:tcW w:w="1231" w:type="dxa"/>
          </w:tcPr>
          <w:p w:rsidR="00DB0AAC" w:rsidRDefault="00DB0AAC">
            <w:pPr>
              <w:pStyle w:val="Default"/>
              <w:rPr>
                <w:sz w:val="20"/>
                <w:szCs w:val="20"/>
              </w:rPr>
            </w:pPr>
            <w:r>
              <w:rPr>
                <w:i/>
                <w:iCs/>
                <w:sz w:val="20"/>
                <w:szCs w:val="20"/>
              </w:rPr>
              <w:t xml:space="preserve">7,0 </w:t>
            </w:r>
          </w:p>
        </w:tc>
      </w:tr>
      <w:tr w:rsidR="00DB0AAC" w:rsidTr="00DB0AAC">
        <w:trPr>
          <w:gridAfter w:val="1"/>
          <w:wAfter w:w="45" w:type="dxa"/>
          <w:trHeight w:val="88"/>
        </w:trPr>
        <w:tc>
          <w:tcPr>
            <w:tcW w:w="8852" w:type="dxa"/>
            <w:gridSpan w:val="6"/>
          </w:tcPr>
          <w:p w:rsidR="00DB0AAC" w:rsidRDefault="00DB0AAC">
            <w:pPr>
              <w:pStyle w:val="Default"/>
              <w:rPr>
                <w:sz w:val="20"/>
                <w:szCs w:val="20"/>
              </w:rPr>
            </w:pPr>
            <w:r>
              <w:rPr>
                <w:b/>
                <w:bCs/>
                <w:i/>
                <w:iCs/>
                <w:sz w:val="20"/>
                <w:szCs w:val="20"/>
              </w:rPr>
              <w:t xml:space="preserve">Допринос расту БДП, </w:t>
            </w:r>
            <w:proofErr w:type="spellStart"/>
            <w:r>
              <w:rPr>
                <w:b/>
                <w:bCs/>
                <w:i/>
                <w:iCs/>
                <w:sz w:val="20"/>
                <w:szCs w:val="20"/>
              </w:rPr>
              <w:t>п.п</w:t>
            </w:r>
            <w:proofErr w:type="spellEnd"/>
            <w:r>
              <w:rPr>
                <w:b/>
                <w:bCs/>
                <w:i/>
                <w:iCs/>
                <w:sz w:val="20"/>
                <w:szCs w:val="20"/>
              </w:rPr>
              <w:t xml:space="preserve">. </w:t>
            </w:r>
          </w:p>
        </w:tc>
      </w:tr>
      <w:tr w:rsidR="00DB0AAC" w:rsidTr="00DB0AAC">
        <w:trPr>
          <w:gridAfter w:val="1"/>
          <w:wAfter w:w="45" w:type="dxa"/>
          <w:trHeight w:val="90"/>
        </w:trPr>
        <w:tc>
          <w:tcPr>
            <w:tcW w:w="3510" w:type="dxa"/>
            <w:gridSpan w:val="2"/>
          </w:tcPr>
          <w:p w:rsidR="00DB0AAC" w:rsidRDefault="00DB0AAC">
            <w:pPr>
              <w:pStyle w:val="Default"/>
              <w:rPr>
                <w:sz w:val="20"/>
                <w:szCs w:val="20"/>
              </w:rPr>
            </w:pPr>
            <w:r>
              <w:rPr>
                <w:i/>
                <w:iCs/>
                <w:sz w:val="20"/>
                <w:szCs w:val="20"/>
              </w:rPr>
              <w:t xml:space="preserve">Домаћа тражња </w:t>
            </w:r>
          </w:p>
        </w:tc>
        <w:tc>
          <w:tcPr>
            <w:tcW w:w="1276" w:type="dxa"/>
          </w:tcPr>
          <w:p w:rsidR="00DB0AAC" w:rsidRDefault="00DB0AAC">
            <w:pPr>
              <w:pStyle w:val="Default"/>
              <w:rPr>
                <w:sz w:val="20"/>
                <w:szCs w:val="20"/>
              </w:rPr>
            </w:pPr>
            <w:r>
              <w:rPr>
                <w:i/>
                <w:iCs/>
                <w:sz w:val="20"/>
                <w:szCs w:val="20"/>
              </w:rPr>
              <w:t xml:space="preserve">2,4 </w:t>
            </w:r>
          </w:p>
        </w:tc>
        <w:tc>
          <w:tcPr>
            <w:tcW w:w="1418" w:type="dxa"/>
          </w:tcPr>
          <w:p w:rsidR="00DB0AAC" w:rsidRDefault="00DB0AAC">
            <w:pPr>
              <w:pStyle w:val="Default"/>
              <w:rPr>
                <w:sz w:val="20"/>
                <w:szCs w:val="20"/>
              </w:rPr>
            </w:pPr>
            <w:r>
              <w:rPr>
                <w:i/>
                <w:iCs/>
                <w:sz w:val="20"/>
                <w:szCs w:val="20"/>
              </w:rPr>
              <w:t xml:space="preserve">3,4 </w:t>
            </w:r>
          </w:p>
        </w:tc>
        <w:tc>
          <w:tcPr>
            <w:tcW w:w="1417" w:type="dxa"/>
          </w:tcPr>
          <w:p w:rsidR="00DB0AAC" w:rsidRDefault="00DB0AAC">
            <w:pPr>
              <w:pStyle w:val="Default"/>
              <w:rPr>
                <w:sz w:val="20"/>
                <w:szCs w:val="20"/>
              </w:rPr>
            </w:pPr>
            <w:r>
              <w:rPr>
                <w:i/>
                <w:iCs/>
                <w:sz w:val="20"/>
                <w:szCs w:val="20"/>
              </w:rPr>
              <w:t xml:space="preserve">3,7 </w:t>
            </w:r>
          </w:p>
        </w:tc>
        <w:tc>
          <w:tcPr>
            <w:tcW w:w="1231" w:type="dxa"/>
          </w:tcPr>
          <w:p w:rsidR="00DB0AAC" w:rsidRDefault="00DB0AAC">
            <w:pPr>
              <w:pStyle w:val="Default"/>
              <w:rPr>
                <w:sz w:val="20"/>
                <w:szCs w:val="20"/>
              </w:rPr>
            </w:pPr>
            <w:r>
              <w:rPr>
                <w:i/>
                <w:iCs/>
                <w:sz w:val="20"/>
                <w:szCs w:val="20"/>
              </w:rPr>
              <w:t xml:space="preserve">4,4 </w:t>
            </w:r>
          </w:p>
        </w:tc>
      </w:tr>
      <w:tr w:rsidR="00DB0AAC" w:rsidTr="00DB0AAC">
        <w:trPr>
          <w:gridAfter w:val="1"/>
          <w:wAfter w:w="45" w:type="dxa"/>
          <w:trHeight w:val="90"/>
        </w:trPr>
        <w:tc>
          <w:tcPr>
            <w:tcW w:w="3510" w:type="dxa"/>
            <w:gridSpan w:val="2"/>
          </w:tcPr>
          <w:p w:rsidR="00DB0AAC" w:rsidRDefault="00DB0AAC">
            <w:pPr>
              <w:pStyle w:val="Default"/>
              <w:rPr>
                <w:sz w:val="20"/>
                <w:szCs w:val="20"/>
              </w:rPr>
            </w:pPr>
            <w:r>
              <w:rPr>
                <w:i/>
                <w:iCs/>
                <w:sz w:val="20"/>
                <w:szCs w:val="20"/>
              </w:rPr>
              <w:t xml:space="preserve">Инвестициона потрошња </w:t>
            </w:r>
          </w:p>
        </w:tc>
        <w:tc>
          <w:tcPr>
            <w:tcW w:w="1276" w:type="dxa"/>
          </w:tcPr>
          <w:p w:rsidR="00DB0AAC" w:rsidRDefault="00DB0AAC">
            <w:pPr>
              <w:pStyle w:val="Default"/>
              <w:rPr>
                <w:sz w:val="20"/>
                <w:szCs w:val="20"/>
              </w:rPr>
            </w:pPr>
            <w:r>
              <w:rPr>
                <w:i/>
                <w:iCs/>
                <w:sz w:val="20"/>
                <w:szCs w:val="20"/>
              </w:rPr>
              <w:t xml:space="preserve">0,8 </w:t>
            </w:r>
          </w:p>
        </w:tc>
        <w:tc>
          <w:tcPr>
            <w:tcW w:w="1418" w:type="dxa"/>
          </w:tcPr>
          <w:p w:rsidR="00DB0AAC" w:rsidRDefault="00DB0AAC">
            <w:pPr>
              <w:pStyle w:val="Default"/>
              <w:rPr>
                <w:sz w:val="20"/>
                <w:szCs w:val="20"/>
              </w:rPr>
            </w:pPr>
            <w:r>
              <w:rPr>
                <w:i/>
                <w:iCs/>
                <w:sz w:val="20"/>
                <w:szCs w:val="20"/>
              </w:rPr>
              <w:t xml:space="preserve">1,0 </w:t>
            </w:r>
          </w:p>
        </w:tc>
        <w:tc>
          <w:tcPr>
            <w:tcW w:w="1417" w:type="dxa"/>
          </w:tcPr>
          <w:p w:rsidR="00DB0AAC" w:rsidRDefault="00DB0AAC">
            <w:pPr>
              <w:pStyle w:val="Default"/>
              <w:rPr>
                <w:sz w:val="20"/>
                <w:szCs w:val="20"/>
              </w:rPr>
            </w:pPr>
            <w:r>
              <w:rPr>
                <w:i/>
                <w:iCs/>
                <w:sz w:val="20"/>
                <w:szCs w:val="20"/>
              </w:rPr>
              <w:t xml:space="preserve">0,9 </w:t>
            </w:r>
          </w:p>
        </w:tc>
        <w:tc>
          <w:tcPr>
            <w:tcW w:w="1231" w:type="dxa"/>
          </w:tcPr>
          <w:p w:rsidR="00DB0AAC" w:rsidRDefault="00DB0AAC">
            <w:pPr>
              <w:pStyle w:val="Default"/>
              <w:rPr>
                <w:sz w:val="20"/>
                <w:szCs w:val="20"/>
              </w:rPr>
            </w:pPr>
            <w:r>
              <w:rPr>
                <w:i/>
                <w:iCs/>
                <w:sz w:val="20"/>
                <w:szCs w:val="20"/>
              </w:rPr>
              <w:t xml:space="preserve">1,1 </w:t>
            </w:r>
          </w:p>
        </w:tc>
      </w:tr>
      <w:tr w:rsidR="00DB0AAC" w:rsidTr="00DB0AAC">
        <w:trPr>
          <w:gridAfter w:val="1"/>
          <w:wAfter w:w="45" w:type="dxa"/>
          <w:trHeight w:val="90"/>
        </w:trPr>
        <w:tc>
          <w:tcPr>
            <w:tcW w:w="3510" w:type="dxa"/>
            <w:gridSpan w:val="2"/>
          </w:tcPr>
          <w:p w:rsidR="00DB0AAC" w:rsidRDefault="00DB0AAC">
            <w:pPr>
              <w:pStyle w:val="Default"/>
              <w:rPr>
                <w:sz w:val="20"/>
                <w:szCs w:val="20"/>
              </w:rPr>
            </w:pPr>
            <w:r>
              <w:rPr>
                <w:i/>
                <w:iCs/>
                <w:sz w:val="20"/>
                <w:szCs w:val="20"/>
              </w:rPr>
              <w:t xml:space="preserve">Лична потрошња </w:t>
            </w:r>
          </w:p>
        </w:tc>
        <w:tc>
          <w:tcPr>
            <w:tcW w:w="1276" w:type="dxa"/>
          </w:tcPr>
          <w:p w:rsidR="00DB0AAC" w:rsidRDefault="00DB0AAC">
            <w:pPr>
              <w:pStyle w:val="Default"/>
              <w:rPr>
                <w:sz w:val="20"/>
                <w:szCs w:val="20"/>
              </w:rPr>
            </w:pPr>
            <w:r>
              <w:rPr>
                <w:i/>
                <w:iCs/>
                <w:sz w:val="20"/>
                <w:szCs w:val="20"/>
              </w:rPr>
              <w:t xml:space="preserve">1,3 </w:t>
            </w:r>
          </w:p>
        </w:tc>
        <w:tc>
          <w:tcPr>
            <w:tcW w:w="1418" w:type="dxa"/>
          </w:tcPr>
          <w:p w:rsidR="00DB0AAC" w:rsidRDefault="00DB0AAC">
            <w:pPr>
              <w:pStyle w:val="Default"/>
              <w:rPr>
                <w:sz w:val="20"/>
                <w:szCs w:val="20"/>
              </w:rPr>
            </w:pPr>
            <w:r>
              <w:rPr>
                <w:i/>
                <w:iCs/>
                <w:sz w:val="20"/>
                <w:szCs w:val="20"/>
              </w:rPr>
              <w:t xml:space="preserve">2,0 </w:t>
            </w:r>
          </w:p>
        </w:tc>
        <w:tc>
          <w:tcPr>
            <w:tcW w:w="1417" w:type="dxa"/>
          </w:tcPr>
          <w:p w:rsidR="00DB0AAC" w:rsidRDefault="00DB0AAC">
            <w:pPr>
              <w:pStyle w:val="Default"/>
              <w:rPr>
                <w:sz w:val="20"/>
                <w:szCs w:val="20"/>
              </w:rPr>
            </w:pPr>
            <w:r>
              <w:rPr>
                <w:i/>
                <w:iCs/>
                <w:sz w:val="20"/>
                <w:szCs w:val="20"/>
              </w:rPr>
              <w:t xml:space="preserve">2,5 </w:t>
            </w:r>
          </w:p>
        </w:tc>
        <w:tc>
          <w:tcPr>
            <w:tcW w:w="1231" w:type="dxa"/>
          </w:tcPr>
          <w:p w:rsidR="00DB0AAC" w:rsidRDefault="00DB0AAC">
            <w:pPr>
              <w:pStyle w:val="Default"/>
              <w:rPr>
                <w:sz w:val="20"/>
                <w:szCs w:val="20"/>
              </w:rPr>
            </w:pPr>
            <w:r>
              <w:rPr>
                <w:i/>
                <w:iCs/>
                <w:sz w:val="20"/>
                <w:szCs w:val="20"/>
              </w:rPr>
              <w:t xml:space="preserve">2,8 </w:t>
            </w:r>
          </w:p>
        </w:tc>
      </w:tr>
      <w:tr w:rsidR="00DB0AAC" w:rsidTr="00DB0AAC">
        <w:trPr>
          <w:gridAfter w:val="1"/>
          <w:wAfter w:w="45" w:type="dxa"/>
          <w:trHeight w:val="90"/>
        </w:trPr>
        <w:tc>
          <w:tcPr>
            <w:tcW w:w="3510" w:type="dxa"/>
            <w:gridSpan w:val="2"/>
          </w:tcPr>
          <w:p w:rsidR="00DB0AAC" w:rsidRDefault="00DB0AAC">
            <w:pPr>
              <w:pStyle w:val="Default"/>
              <w:rPr>
                <w:sz w:val="20"/>
                <w:szCs w:val="20"/>
              </w:rPr>
            </w:pPr>
            <w:r>
              <w:rPr>
                <w:i/>
                <w:iCs/>
                <w:sz w:val="20"/>
                <w:szCs w:val="20"/>
              </w:rPr>
              <w:t xml:space="preserve">Државна потрошња </w:t>
            </w:r>
          </w:p>
        </w:tc>
        <w:tc>
          <w:tcPr>
            <w:tcW w:w="1276" w:type="dxa"/>
          </w:tcPr>
          <w:p w:rsidR="00DB0AAC" w:rsidRDefault="00DB0AAC">
            <w:pPr>
              <w:pStyle w:val="Default"/>
              <w:rPr>
                <w:sz w:val="20"/>
                <w:szCs w:val="20"/>
              </w:rPr>
            </w:pPr>
            <w:r>
              <w:rPr>
                <w:i/>
                <w:iCs/>
                <w:sz w:val="20"/>
                <w:szCs w:val="20"/>
              </w:rPr>
              <w:t xml:space="preserve">0,3 </w:t>
            </w:r>
          </w:p>
        </w:tc>
        <w:tc>
          <w:tcPr>
            <w:tcW w:w="1418" w:type="dxa"/>
          </w:tcPr>
          <w:p w:rsidR="00DB0AAC" w:rsidRDefault="00DB0AAC">
            <w:pPr>
              <w:pStyle w:val="Default"/>
              <w:rPr>
                <w:sz w:val="20"/>
                <w:szCs w:val="20"/>
              </w:rPr>
            </w:pPr>
            <w:r>
              <w:rPr>
                <w:i/>
                <w:iCs/>
                <w:sz w:val="20"/>
                <w:szCs w:val="20"/>
              </w:rPr>
              <w:t xml:space="preserve">0,4 </w:t>
            </w:r>
          </w:p>
        </w:tc>
        <w:tc>
          <w:tcPr>
            <w:tcW w:w="1417" w:type="dxa"/>
          </w:tcPr>
          <w:p w:rsidR="00DB0AAC" w:rsidRDefault="00DB0AAC">
            <w:pPr>
              <w:pStyle w:val="Default"/>
              <w:rPr>
                <w:sz w:val="20"/>
                <w:szCs w:val="20"/>
              </w:rPr>
            </w:pPr>
            <w:r>
              <w:rPr>
                <w:i/>
                <w:iCs/>
                <w:sz w:val="20"/>
                <w:szCs w:val="20"/>
              </w:rPr>
              <w:t xml:space="preserve">0,3 </w:t>
            </w:r>
          </w:p>
        </w:tc>
        <w:tc>
          <w:tcPr>
            <w:tcW w:w="1231" w:type="dxa"/>
          </w:tcPr>
          <w:p w:rsidR="00DB0AAC" w:rsidRDefault="00DB0AAC">
            <w:pPr>
              <w:pStyle w:val="Default"/>
              <w:rPr>
                <w:sz w:val="20"/>
                <w:szCs w:val="20"/>
              </w:rPr>
            </w:pPr>
            <w:r>
              <w:rPr>
                <w:i/>
                <w:iCs/>
                <w:sz w:val="20"/>
                <w:szCs w:val="20"/>
              </w:rPr>
              <w:t xml:space="preserve">0,5 </w:t>
            </w:r>
          </w:p>
        </w:tc>
      </w:tr>
      <w:tr w:rsidR="00DB0AAC" w:rsidTr="00DB0AAC">
        <w:trPr>
          <w:gridAfter w:val="1"/>
          <w:wAfter w:w="45" w:type="dxa"/>
          <w:trHeight w:val="90"/>
        </w:trPr>
        <w:tc>
          <w:tcPr>
            <w:tcW w:w="3510" w:type="dxa"/>
            <w:gridSpan w:val="2"/>
          </w:tcPr>
          <w:p w:rsidR="00DB0AAC" w:rsidRDefault="00DB0AAC">
            <w:pPr>
              <w:pStyle w:val="Default"/>
              <w:rPr>
                <w:sz w:val="20"/>
                <w:szCs w:val="20"/>
              </w:rPr>
            </w:pPr>
            <w:r>
              <w:rPr>
                <w:i/>
                <w:iCs/>
                <w:sz w:val="20"/>
                <w:szCs w:val="20"/>
              </w:rPr>
              <w:t xml:space="preserve">Спољно-трговински биланс роба и услуга </w:t>
            </w:r>
          </w:p>
        </w:tc>
        <w:tc>
          <w:tcPr>
            <w:tcW w:w="1276" w:type="dxa"/>
          </w:tcPr>
          <w:p w:rsidR="00DB0AAC" w:rsidRDefault="00DB0AAC">
            <w:pPr>
              <w:pStyle w:val="Default"/>
              <w:rPr>
                <w:sz w:val="20"/>
                <w:szCs w:val="20"/>
              </w:rPr>
            </w:pPr>
            <w:r>
              <w:rPr>
                <w:i/>
                <w:iCs/>
                <w:sz w:val="20"/>
                <w:szCs w:val="20"/>
              </w:rPr>
              <w:t xml:space="preserve">-0,4 </w:t>
            </w:r>
          </w:p>
        </w:tc>
        <w:tc>
          <w:tcPr>
            <w:tcW w:w="1418" w:type="dxa"/>
          </w:tcPr>
          <w:p w:rsidR="00DB0AAC" w:rsidRDefault="00DB0AAC">
            <w:pPr>
              <w:pStyle w:val="Default"/>
              <w:rPr>
                <w:sz w:val="20"/>
                <w:szCs w:val="20"/>
              </w:rPr>
            </w:pPr>
            <w:r>
              <w:rPr>
                <w:i/>
                <w:iCs/>
                <w:sz w:val="20"/>
                <w:szCs w:val="20"/>
              </w:rPr>
              <w:t xml:space="preserve">0,1 </w:t>
            </w:r>
          </w:p>
        </w:tc>
        <w:tc>
          <w:tcPr>
            <w:tcW w:w="1417" w:type="dxa"/>
          </w:tcPr>
          <w:p w:rsidR="00DB0AAC" w:rsidRDefault="00DB0AAC">
            <w:pPr>
              <w:pStyle w:val="Default"/>
              <w:rPr>
                <w:sz w:val="20"/>
                <w:szCs w:val="20"/>
              </w:rPr>
            </w:pPr>
            <w:r>
              <w:rPr>
                <w:i/>
                <w:iCs/>
                <w:sz w:val="20"/>
                <w:szCs w:val="20"/>
              </w:rPr>
              <w:t xml:space="preserve">-0,2 </w:t>
            </w:r>
          </w:p>
        </w:tc>
        <w:tc>
          <w:tcPr>
            <w:tcW w:w="1231" w:type="dxa"/>
          </w:tcPr>
          <w:p w:rsidR="00DB0AAC" w:rsidRDefault="00DB0AAC">
            <w:pPr>
              <w:pStyle w:val="Default"/>
              <w:rPr>
                <w:sz w:val="20"/>
                <w:szCs w:val="20"/>
              </w:rPr>
            </w:pPr>
            <w:r>
              <w:rPr>
                <w:i/>
                <w:iCs/>
                <w:sz w:val="20"/>
                <w:szCs w:val="20"/>
              </w:rPr>
              <w:t xml:space="preserve">-0,4 </w:t>
            </w:r>
          </w:p>
        </w:tc>
      </w:tr>
      <w:tr w:rsidR="00DB0AAC" w:rsidTr="00DB0AAC">
        <w:trPr>
          <w:gridAfter w:val="1"/>
          <w:wAfter w:w="45" w:type="dxa"/>
          <w:trHeight w:val="88"/>
        </w:trPr>
        <w:tc>
          <w:tcPr>
            <w:tcW w:w="8852" w:type="dxa"/>
            <w:gridSpan w:val="6"/>
          </w:tcPr>
          <w:p w:rsidR="00DB0AAC" w:rsidRDefault="00DB0AAC">
            <w:pPr>
              <w:pStyle w:val="Default"/>
              <w:rPr>
                <w:sz w:val="20"/>
                <w:szCs w:val="20"/>
              </w:rPr>
            </w:pPr>
            <w:r>
              <w:rPr>
                <w:b/>
                <w:bCs/>
                <w:i/>
                <w:iCs/>
                <w:sz w:val="20"/>
                <w:szCs w:val="20"/>
              </w:rPr>
              <w:t xml:space="preserve">Кретање цена </w:t>
            </w:r>
          </w:p>
        </w:tc>
      </w:tr>
      <w:tr w:rsidR="00DB0AAC" w:rsidTr="00DB0AAC">
        <w:trPr>
          <w:gridAfter w:val="1"/>
          <w:wAfter w:w="45" w:type="dxa"/>
          <w:trHeight w:val="90"/>
        </w:trPr>
        <w:tc>
          <w:tcPr>
            <w:tcW w:w="3510" w:type="dxa"/>
            <w:gridSpan w:val="2"/>
          </w:tcPr>
          <w:p w:rsidR="00DB0AAC" w:rsidRDefault="00DB0AAC">
            <w:pPr>
              <w:pStyle w:val="Default"/>
              <w:rPr>
                <w:sz w:val="20"/>
                <w:szCs w:val="20"/>
              </w:rPr>
            </w:pPr>
            <w:r>
              <w:rPr>
                <w:i/>
                <w:iCs/>
                <w:sz w:val="20"/>
                <w:szCs w:val="20"/>
              </w:rPr>
              <w:t xml:space="preserve">Потрошачке цене(годишњи просек) </w:t>
            </w:r>
          </w:p>
        </w:tc>
        <w:tc>
          <w:tcPr>
            <w:tcW w:w="1276" w:type="dxa"/>
          </w:tcPr>
          <w:p w:rsidR="00DB0AAC" w:rsidRDefault="00DB0AAC">
            <w:pPr>
              <w:pStyle w:val="Default"/>
              <w:rPr>
                <w:sz w:val="20"/>
                <w:szCs w:val="20"/>
              </w:rPr>
            </w:pPr>
            <w:r>
              <w:rPr>
                <w:i/>
                <w:iCs/>
                <w:sz w:val="20"/>
                <w:szCs w:val="20"/>
              </w:rPr>
              <w:t xml:space="preserve">3,1 </w:t>
            </w:r>
          </w:p>
        </w:tc>
        <w:tc>
          <w:tcPr>
            <w:tcW w:w="1418" w:type="dxa"/>
          </w:tcPr>
          <w:p w:rsidR="00DB0AAC" w:rsidRDefault="00DB0AAC">
            <w:pPr>
              <w:pStyle w:val="Default"/>
              <w:rPr>
                <w:sz w:val="20"/>
                <w:szCs w:val="20"/>
              </w:rPr>
            </w:pPr>
            <w:r>
              <w:rPr>
                <w:i/>
                <w:iCs/>
                <w:sz w:val="20"/>
                <w:szCs w:val="20"/>
              </w:rPr>
              <w:t xml:space="preserve">2,7 </w:t>
            </w:r>
          </w:p>
        </w:tc>
        <w:tc>
          <w:tcPr>
            <w:tcW w:w="1417" w:type="dxa"/>
          </w:tcPr>
          <w:p w:rsidR="00DB0AAC" w:rsidRDefault="00DB0AAC">
            <w:pPr>
              <w:pStyle w:val="Default"/>
              <w:rPr>
                <w:sz w:val="20"/>
                <w:szCs w:val="20"/>
              </w:rPr>
            </w:pPr>
            <w:r>
              <w:rPr>
                <w:i/>
                <w:iCs/>
                <w:sz w:val="20"/>
                <w:szCs w:val="20"/>
              </w:rPr>
              <w:t xml:space="preserve">2,8 </w:t>
            </w:r>
          </w:p>
        </w:tc>
        <w:tc>
          <w:tcPr>
            <w:tcW w:w="1231" w:type="dxa"/>
          </w:tcPr>
          <w:p w:rsidR="00DB0AAC" w:rsidRDefault="00DB0AAC">
            <w:pPr>
              <w:pStyle w:val="Default"/>
              <w:rPr>
                <w:sz w:val="20"/>
                <w:szCs w:val="20"/>
              </w:rPr>
            </w:pPr>
            <w:r>
              <w:rPr>
                <w:i/>
                <w:iCs/>
                <w:sz w:val="20"/>
                <w:szCs w:val="20"/>
              </w:rPr>
              <w:t xml:space="preserve">3,0 </w:t>
            </w:r>
          </w:p>
        </w:tc>
      </w:tr>
      <w:tr w:rsidR="00DB0AAC" w:rsidTr="00DB0AAC">
        <w:trPr>
          <w:gridAfter w:val="1"/>
          <w:wAfter w:w="45" w:type="dxa"/>
          <w:trHeight w:val="90"/>
        </w:trPr>
        <w:tc>
          <w:tcPr>
            <w:tcW w:w="3510" w:type="dxa"/>
            <w:gridSpan w:val="2"/>
          </w:tcPr>
          <w:p w:rsidR="00DB0AAC" w:rsidRDefault="00DB0AAC">
            <w:pPr>
              <w:pStyle w:val="Default"/>
              <w:rPr>
                <w:sz w:val="20"/>
                <w:szCs w:val="20"/>
              </w:rPr>
            </w:pPr>
            <w:r>
              <w:rPr>
                <w:i/>
                <w:iCs/>
                <w:sz w:val="20"/>
                <w:szCs w:val="20"/>
              </w:rPr>
              <w:t xml:space="preserve">Потрошачке цене(крај периода) </w:t>
            </w:r>
          </w:p>
        </w:tc>
        <w:tc>
          <w:tcPr>
            <w:tcW w:w="1276" w:type="dxa"/>
          </w:tcPr>
          <w:p w:rsidR="00DB0AAC" w:rsidRDefault="00DB0AAC">
            <w:pPr>
              <w:pStyle w:val="Default"/>
              <w:rPr>
                <w:sz w:val="20"/>
                <w:szCs w:val="20"/>
              </w:rPr>
            </w:pPr>
            <w:r>
              <w:rPr>
                <w:i/>
                <w:iCs/>
                <w:sz w:val="20"/>
                <w:szCs w:val="20"/>
              </w:rPr>
              <w:t xml:space="preserve">3,0 </w:t>
            </w:r>
          </w:p>
        </w:tc>
        <w:tc>
          <w:tcPr>
            <w:tcW w:w="1418" w:type="dxa"/>
          </w:tcPr>
          <w:p w:rsidR="00DB0AAC" w:rsidRDefault="00DB0AAC">
            <w:pPr>
              <w:pStyle w:val="Default"/>
              <w:rPr>
                <w:sz w:val="20"/>
                <w:szCs w:val="20"/>
              </w:rPr>
            </w:pPr>
            <w:r>
              <w:rPr>
                <w:i/>
                <w:iCs/>
                <w:sz w:val="20"/>
                <w:szCs w:val="20"/>
              </w:rPr>
              <w:t xml:space="preserve">3,0 </w:t>
            </w:r>
          </w:p>
        </w:tc>
        <w:tc>
          <w:tcPr>
            <w:tcW w:w="1417" w:type="dxa"/>
          </w:tcPr>
          <w:p w:rsidR="00DB0AAC" w:rsidRDefault="00DB0AAC">
            <w:pPr>
              <w:pStyle w:val="Default"/>
              <w:rPr>
                <w:sz w:val="20"/>
                <w:szCs w:val="20"/>
              </w:rPr>
            </w:pPr>
            <w:r>
              <w:rPr>
                <w:i/>
                <w:iCs/>
                <w:sz w:val="20"/>
                <w:szCs w:val="20"/>
              </w:rPr>
              <w:t xml:space="preserve">3,0 </w:t>
            </w:r>
          </w:p>
        </w:tc>
        <w:tc>
          <w:tcPr>
            <w:tcW w:w="1231" w:type="dxa"/>
          </w:tcPr>
          <w:p w:rsidR="00DB0AAC" w:rsidRDefault="00DB0AAC">
            <w:pPr>
              <w:pStyle w:val="Default"/>
              <w:rPr>
                <w:sz w:val="20"/>
                <w:szCs w:val="20"/>
              </w:rPr>
            </w:pPr>
            <w:r>
              <w:rPr>
                <w:i/>
                <w:iCs/>
                <w:sz w:val="20"/>
                <w:szCs w:val="20"/>
              </w:rPr>
              <w:t xml:space="preserve">3,0 </w:t>
            </w:r>
          </w:p>
        </w:tc>
      </w:tr>
      <w:tr w:rsidR="00DB0AAC" w:rsidTr="00DB0AAC">
        <w:trPr>
          <w:trHeight w:val="90"/>
        </w:trPr>
        <w:tc>
          <w:tcPr>
            <w:tcW w:w="1753" w:type="dxa"/>
          </w:tcPr>
          <w:p w:rsidR="00DB0AAC" w:rsidRDefault="00DB0AAC">
            <w:pPr>
              <w:pStyle w:val="Default"/>
              <w:rPr>
                <w:sz w:val="20"/>
                <w:szCs w:val="20"/>
              </w:rPr>
            </w:pPr>
            <w:proofErr w:type="spellStart"/>
            <w:r>
              <w:rPr>
                <w:i/>
                <w:iCs/>
                <w:sz w:val="20"/>
                <w:szCs w:val="20"/>
              </w:rPr>
              <w:t>Дефлатор</w:t>
            </w:r>
            <w:proofErr w:type="spellEnd"/>
            <w:r>
              <w:rPr>
                <w:i/>
                <w:iCs/>
                <w:sz w:val="20"/>
                <w:szCs w:val="20"/>
              </w:rPr>
              <w:t xml:space="preserve"> БДП </w:t>
            </w:r>
          </w:p>
        </w:tc>
        <w:tc>
          <w:tcPr>
            <w:tcW w:w="3033" w:type="dxa"/>
            <w:gridSpan w:val="2"/>
          </w:tcPr>
          <w:p w:rsidR="00DB0AAC" w:rsidRDefault="00DB0AAC">
            <w:pPr>
              <w:pStyle w:val="Default"/>
              <w:rPr>
                <w:sz w:val="20"/>
                <w:szCs w:val="20"/>
              </w:rPr>
            </w:pPr>
            <w:r>
              <w:rPr>
                <w:i/>
                <w:iCs/>
                <w:sz w:val="20"/>
                <w:szCs w:val="20"/>
              </w:rPr>
              <w:t xml:space="preserve">2,8 </w:t>
            </w:r>
          </w:p>
        </w:tc>
        <w:tc>
          <w:tcPr>
            <w:tcW w:w="1418" w:type="dxa"/>
          </w:tcPr>
          <w:p w:rsidR="00DB0AAC" w:rsidRDefault="00DB0AAC">
            <w:pPr>
              <w:pStyle w:val="Default"/>
              <w:rPr>
                <w:sz w:val="20"/>
                <w:szCs w:val="20"/>
              </w:rPr>
            </w:pPr>
            <w:r>
              <w:rPr>
                <w:i/>
                <w:iCs/>
                <w:sz w:val="20"/>
                <w:szCs w:val="20"/>
              </w:rPr>
              <w:t xml:space="preserve">2,8 </w:t>
            </w:r>
          </w:p>
        </w:tc>
        <w:tc>
          <w:tcPr>
            <w:tcW w:w="1417" w:type="dxa"/>
          </w:tcPr>
          <w:p w:rsidR="00DB0AAC" w:rsidRDefault="00DB0AAC">
            <w:pPr>
              <w:pStyle w:val="Default"/>
              <w:rPr>
                <w:sz w:val="20"/>
                <w:szCs w:val="20"/>
              </w:rPr>
            </w:pPr>
            <w:r>
              <w:rPr>
                <w:i/>
                <w:iCs/>
                <w:sz w:val="20"/>
                <w:szCs w:val="20"/>
              </w:rPr>
              <w:t xml:space="preserve">2,8 </w:t>
            </w:r>
          </w:p>
        </w:tc>
        <w:tc>
          <w:tcPr>
            <w:tcW w:w="1276" w:type="dxa"/>
            <w:gridSpan w:val="2"/>
          </w:tcPr>
          <w:p w:rsidR="00DB0AAC" w:rsidRDefault="00DB0AAC">
            <w:pPr>
              <w:pStyle w:val="Default"/>
              <w:rPr>
                <w:sz w:val="20"/>
                <w:szCs w:val="20"/>
              </w:rPr>
            </w:pPr>
            <w:r>
              <w:rPr>
                <w:i/>
                <w:iCs/>
                <w:sz w:val="20"/>
                <w:szCs w:val="20"/>
              </w:rPr>
              <w:t xml:space="preserve">3,0 </w:t>
            </w:r>
          </w:p>
        </w:tc>
      </w:tr>
      <w:tr w:rsidR="00DB0AAC" w:rsidTr="00DB0AAC">
        <w:trPr>
          <w:trHeight w:val="88"/>
        </w:trPr>
        <w:tc>
          <w:tcPr>
            <w:tcW w:w="8897" w:type="dxa"/>
            <w:gridSpan w:val="7"/>
          </w:tcPr>
          <w:p w:rsidR="00DB0AAC" w:rsidRDefault="00DB0AAC">
            <w:pPr>
              <w:pStyle w:val="Default"/>
              <w:rPr>
                <w:sz w:val="20"/>
                <w:szCs w:val="20"/>
              </w:rPr>
            </w:pPr>
            <w:r>
              <w:rPr>
                <w:b/>
                <w:bCs/>
                <w:i/>
                <w:iCs/>
                <w:sz w:val="20"/>
                <w:szCs w:val="20"/>
              </w:rPr>
              <w:t xml:space="preserve">Кретања у спољном сектору (%БДП) </w:t>
            </w:r>
          </w:p>
        </w:tc>
      </w:tr>
      <w:tr w:rsidR="00DB0AAC" w:rsidTr="00DB0AAC">
        <w:trPr>
          <w:trHeight w:val="90"/>
        </w:trPr>
        <w:tc>
          <w:tcPr>
            <w:tcW w:w="3510" w:type="dxa"/>
            <w:gridSpan w:val="2"/>
          </w:tcPr>
          <w:p w:rsidR="00DB0AAC" w:rsidRDefault="00DB0AAC">
            <w:pPr>
              <w:pStyle w:val="Default"/>
              <w:rPr>
                <w:sz w:val="20"/>
                <w:szCs w:val="20"/>
              </w:rPr>
            </w:pPr>
            <w:r>
              <w:rPr>
                <w:i/>
                <w:iCs/>
                <w:sz w:val="20"/>
                <w:szCs w:val="20"/>
              </w:rPr>
              <w:t xml:space="preserve">Спољнотрговински биланс роба </w:t>
            </w:r>
          </w:p>
        </w:tc>
        <w:tc>
          <w:tcPr>
            <w:tcW w:w="1276" w:type="dxa"/>
          </w:tcPr>
          <w:p w:rsidR="00DB0AAC" w:rsidRDefault="00DB0AAC">
            <w:pPr>
              <w:pStyle w:val="Default"/>
              <w:rPr>
                <w:sz w:val="20"/>
                <w:szCs w:val="20"/>
              </w:rPr>
            </w:pPr>
            <w:r>
              <w:rPr>
                <w:i/>
                <w:iCs/>
                <w:sz w:val="20"/>
                <w:szCs w:val="20"/>
              </w:rPr>
              <w:t xml:space="preserve">-9,8 </w:t>
            </w:r>
          </w:p>
        </w:tc>
        <w:tc>
          <w:tcPr>
            <w:tcW w:w="1418" w:type="dxa"/>
          </w:tcPr>
          <w:p w:rsidR="00DB0AAC" w:rsidRDefault="00DB0AAC">
            <w:pPr>
              <w:pStyle w:val="Default"/>
              <w:rPr>
                <w:sz w:val="20"/>
                <w:szCs w:val="20"/>
              </w:rPr>
            </w:pPr>
            <w:r>
              <w:rPr>
                <w:i/>
                <w:iCs/>
                <w:sz w:val="20"/>
                <w:szCs w:val="20"/>
              </w:rPr>
              <w:t xml:space="preserve">-9,3 </w:t>
            </w:r>
          </w:p>
        </w:tc>
        <w:tc>
          <w:tcPr>
            <w:tcW w:w="1417" w:type="dxa"/>
          </w:tcPr>
          <w:p w:rsidR="00DB0AAC" w:rsidRDefault="00DB0AAC">
            <w:pPr>
              <w:pStyle w:val="Default"/>
              <w:rPr>
                <w:sz w:val="20"/>
                <w:szCs w:val="20"/>
              </w:rPr>
            </w:pPr>
            <w:r>
              <w:rPr>
                <w:i/>
                <w:iCs/>
                <w:sz w:val="20"/>
                <w:szCs w:val="20"/>
              </w:rPr>
              <w:t xml:space="preserve">-9,1 </w:t>
            </w:r>
          </w:p>
        </w:tc>
        <w:tc>
          <w:tcPr>
            <w:tcW w:w="1276" w:type="dxa"/>
            <w:gridSpan w:val="2"/>
          </w:tcPr>
          <w:p w:rsidR="00DB0AAC" w:rsidRDefault="00DB0AAC">
            <w:pPr>
              <w:pStyle w:val="Default"/>
              <w:rPr>
                <w:sz w:val="20"/>
                <w:szCs w:val="20"/>
              </w:rPr>
            </w:pPr>
            <w:r>
              <w:rPr>
                <w:i/>
                <w:iCs/>
                <w:sz w:val="20"/>
                <w:szCs w:val="20"/>
              </w:rPr>
              <w:t xml:space="preserve">-9,0 </w:t>
            </w:r>
          </w:p>
        </w:tc>
      </w:tr>
      <w:tr w:rsidR="00DB0AAC" w:rsidTr="00DB0AAC">
        <w:trPr>
          <w:trHeight w:val="90"/>
        </w:trPr>
        <w:tc>
          <w:tcPr>
            <w:tcW w:w="3510" w:type="dxa"/>
            <w:gridSpan w:val="2"/>
          </w:tcPr>
          <w:p w:rsidR="00DB0AAC" w:rsidRDefault="00DB0AAC">
            <w:pPr>
              <w:pStyle w:val="Default"/>
              <w:rPr>
                <w:sz w:val="20"/>
                <w:szCs w:val="20"/>
              </w:rPr>
            </w:pPr>
            <w:r>
              <w:rPr>
                <w:i/>
                <w:iCs/>
                <w:sz w:val="20"/>
                <w:szCs w:val="20"/>
              </w:rPr>
              <w:t xml:space="preserve">Спољнотрговински биланс услуга </w:t>
            </w:r>
          </w:p>
        </w:tc>
        <w:tc>
          <w:tcPr>
            <w:tcW w:w="1276" w:type="dxa"/>
          </w:tcPr>
          <w:p w:rsidR="00DB0AAC" w:rsidRDefault="00DB0AAC">
            <w:pPr>
              <w:pStyle w:val="Default"/>
              <w:rPr>
                <w:sz w:val="20"/>
                <w:szCs w:val="20"/>
              </w:rPr>
            </w:pPr>
            <w:r>
              <w:rPr>
                <w:i/>
                <w:iCs/>
                <w:sz w:val="20"/>
                <w:szCs w:val="20"/>
              </w:rPr>
              <w:t xml:space="preserve">2,3 </w:t>
            </w:r>
          </w:p>
        </w:tc>
        <w:tc>
          <w:tcPr>
            <w:tcW w:w="1418" w:type="dxa"/>
          </w:tcPr>
          <w:p w:rsidR="00DB0AAC" w:rsidRDefault="00DB0AAC">
            <w:pPr>
              <w:pStyle w:val="Default"/>
              <w:rPr>
                <w:sz w:val="20"/>
                <w:szCs w:val="20"/>
              </w:rPr>
            </w:pPr>
            <w:r>
              <w:rPr>
                <w:i/>
                <w:iCs/>
                <w:sz w:val="20"/>
                <w:szCs w:val="20"/>
              </w:rPr>
              <w:t xml:space="preserve">2,6 </w:t>
            </w:r>
          </w:p>
        </w:tc>
        <w:tc>
          <w:tcPr>
            <w:tcW w:w="1417" w:type="dxa"/>
          </w:tcPr>
          <w:p w:rsidR="00DB0AAC" w:rsidRDefault="00DB0AAC">
            <w:pPr>
              <w:pStyle w:val="Default"/>
              <w:rPr>
                <w:sz w:val="20"/>
                <w:szCs w:val="20"/>
              </w:rPr>
            </w:pPr>
            <w:r>
              <w:rPr>
                <w:i/>
                <w:iCs/>
                <w:sz w:val="20"/>
                <w:szCs w:val="20"/>
              </w:rPr>
              <w:t xml:space="preserve">2,9 </w:t>
            </w:r>
          </w:p>
        </w:tc>
        <w:tc>
          <w:tcPr>
            <w:tcW w:w="1276" w:type="dxa"/>
            <w:gridSpan w:val="2"/>
          </w:tcPr>
          <w:p w:rsidR="00DB0AAC" w:rsidRDefault="00DB0AAC">
            <w:pPr>
              <w:pStyle w:val="Default"/>
              <w:rPr>
                <w:sz w:val="20"/>
                <w:szCs w:val="20"/>
              </w:rPr>
            </w:pPr>
            <w:r>
              <w:rPr>
                <w:i/>
                <w:iCs/>
                <w:sz w:val="20"/>
                <w:szCs w:val="20"/>
              </w:rPr>
              <w:t xml:space="preserve">3,0 </w:t>
            </w:r>
          </w:p>
        </w:tc>
      </w:tr>
      <w:tr w:rsidR="00DB0AAC" w:rsidTr="00DB0AAC">
        <w:trPr>
          <w:trHeight w:val="90"/>
        </w:trPr>
        <w:tc>
          <w:tcPr>
            <w:tcW w:w="3510" w:type="dxa"/>
            <w:gridSpan w:val="2"/>
          </w:tcPr>
          <w:p w:rsidR="00DB0AAC" w:rsidRDefault="00DB0AAC">
            <w:pPr>
              <w:pStyle w:val="Default"/>
              <w:rPr>
                <w:sz w:val="20"/>
                <w:szCs w:val="20"/>
              </w:rPr>
            </w:pPr>
            <w:r>
              <w:rPr>
                <w:i/>
                <w:iCs/>
                <w:sz w:val="20"/>
                <w:szCs w:val="20"/>
              </w:rPr>
              <w:t xml:space="preserve">Салдо текућег рачуна </w:t>
            </w:r>
          </w:p>
        </w:tc>
        <w:tc>
          <w:tcPr>
            <w:tcW w:w="1276" w:type="dxa"/>
          </w:tcPr>
          <w:p w:rsidR="00DB0AAC" w:rsidRDefault="00DB0AAC">
            <w:pPr>
              <w:pStyle w:val="Default"/>
              <w:rPr>
                <w:sz w:val="20"/>
                <w:szCs w:val="20"/>
              </w:rPr>
            </w:pPr>
            <w:r>
              <w:rPr>
                <w:i/>
                <w:iCs/>
                <w:sz w:val="20"/>
                <w:szCs w:val="20"/>
              </w:rPr>
              <w:t xml:space="preserve">-4,6 </w:t>
            </w:r>
          </w:p>
        </w:tc>
        <w:tc>
          <w:tcPr>
            <w:tcW w:w="1418" w:type="dxa"/>
          </w:tcPr>
          <w:p w:rsidR="00DB0AAC" w:rsidRDefault="00DB0AAC">
            <w:pPr>
              <w:pStyle w:val="Default"/>
              <w:rPr>
                <w:sz w:val="20"/>
                <w:szCs w:val="20"/>
              </w:rPr>
            </w:pPr>
            <w:r>
              <w:rPr>
                <w:i/>
                <w:iCs/>
                <w:sz w:val="20"/>
                <w:szCs w:val="20"/>
              </w:rPr>
              <w:t xml:space="preserve">-4,2 </w:t>
            </w:r>
          </w:p>
        </w:tc>
        <w:tc>
          <w:tcPr>
            <w:tcW w:w="1417" w:type="dxa"/>
          </w:tcPr>
          <w:p w:rsidR="00DB0AAC" w:rsidRDefault="00DB0AAC">
            <w:pPr>
              <w:pStyle w:val="Default"/>
              <w:rPr>
                <w:sz w:val="20"/>
                <w:szCs w:val="20"/>
              </w:rPr>
            </w:pPr>
            <w:r>
              <w:rPr>
                <w:i/>
                <w:iCs/>
                <w:sz w:val="20"/>
                <w:szCs w:val="20"/>
              </w:rPr>
              <w:t xml:space="preserve">-4,1 </w:t>
            </w:r>
          </w:p>
        </w:tc>
        <w:tc>
          <w:tcPr>
            <w:tcW w:w="1276" w:type="dxa"/>
            <w:gridSpan w:val="2"/>
          </w:tcPr>
          <w:p w:rsidR="00DB0AAC" w:rsidRDefault="00DB0AAC">
            <w:pPr>
              <w:pStyle w:val="Default"/>
              <w:rPr>
                <w:sz w:val="20"/>
                <w:szCs w:val="20"/>
              </w:rPr>
            </w:pPr>
            <w:r>
              <w:rPr>
                <w:i/>
                <w:iCs/>
                <w:sz w:val="20"/>
                <w:szCs w:val="20"/>
              </w:rPr>
              <w:t xml:space="preserve">-3,9 </w:t>
            </w:r>
          </w:p>
        </w:tc>
      </w:tr>
      <w:tr w:rsidR="00DB0AAC" w:rsidTr="00DB0AAC">
        <w:trPr>
          <w:trHeight w:val="90"/>
        </w:trPr>
        <w:tc>
          <w:tcPr>
            <w:tcW w:w="3510" w:type="dxa"/>
            <w:gridSpan w:val="2"/>
          </w:tcPr>
          <w:p w:rsidR="00DB0AAC" w:rsidRDefault="00DB0AAC">
            <w:pPr>
              <w:pStyle w:val="Default"/>
              <w:rPr>
                <w:sz w:val="20"/>
                <w:szCs w:val="20"/>
              </w:rPr>
            </w:pPr>
            <w:r>
              <w:rPr>
                <w:i/>
                <w:iCs/>
                <w:sz w:val="20"/>
                <w:szCs w:val="20"/>
              </w:rPr>
              <w:t xml:space="preserve">Директне инвестиције - нето </w:t>
            </w:r>
          </w:p>
        </w:tc>
        <w:tc>
          <w:tcPr>
            <w:tcW w:w="1276" w:type="dxa"/>
          </w:tcPr>
          <w:p w:rsidR="00DB0AAC" w:rsidRDefault="00DB0AAC">
            <w:pPr>
              <w:pStyle w:val="Default"/>
              <w:rPr>
                <w:sz w:val="20"/>
                <w:szCs w:val="20"/>
              </w:rPr>
            </w:pPr>
            <w:r>
              <w:rPr>
                <w:i/>
                <w:iCs/>
                <w:sz w:val="20"/>
                <w:szCs w:val="20"/>
              </w:rPr>
              <w:t xml:space="preserve">5,8 </w:t>
            </w:r>
          </w:p>
        </w:tc>
        <w:tc>
          <w:tcPr>
            <w:tcW w:w="1418" w:type="dxa"/>
          </w:tcPr>
          <w:p w:rsidR="00DB0AAC" w:rsidRDefault="00DB0AAC">
            <w:pPr>
              <w:pStyle w:val="Default"/>
              <w:rPr>
                <w:sz w:val="20"/>
                <w:szCs w:val="20"/>
              </w:rPr>
            </w:pPr>
            <w:r>
              <w:rPr>
                <w:i/>
                <w:iCs/>
                <w:sz w:val="20"/>
                <w:szCs w:val="20"/>
              </w:rPr>
              <w:t xml:space="preserve">5,1 </w:t>
            </w:r>
          </w:p>
        </w:tc>
        <w:tc>
          <w:tcPr>
            <w:tcW w:w="1417" w:type="dxa"/>
          </w:tcPr>
          <w:p w:rsidR="00DB0AAC" w:rsidRDefault="00DB0AAC">
            <w:pPr>
              <w:pStyle w:val="Default"/>
              <w:rPr>
                <w:sz w:val="20"/>
                <w:szCs w:val="20"/>
              </w:rPr>
            </w:pPr>
            <w:r>
              <w:rPr>
                <w:i/>
                <w:iCs/>
                <w:sz w:val="20"/>
                <w:szCs w:val="20"/>
              </w:rPr>
              <w:t xml:space="preserve">5,0 </w:t>
            </w:r>
          </w:p>
        </w:tc>
        <w:tc>
          <w:tcPr>
            <w:tcW w:w="1276" w:type="dxa"/>
            <w:gridSpan w:val="2"/>
          </w:tcPr>
          <w:p w:rsidR="00DB0AAC" w:rsidRDefault="00DB0AAC">
            <w:pPr>
              <w:pStyle w:val="Default"/>
              <w:rPr>
                <w:sz w:val="20"/>
                <w:szCs w:val="20"/>
              </w:rPr>
            </w:pPr>
            <w:r>
              <w:rPr>
                <w:i/>
                <w:iCs/>
                <w:sz w:val="20"/>
                <w:szCs w:val="20"/>
              </w:rPr>
              <w:t xml:space="preserve">5,0 </w:t>
            </w:r>
          </w:p>
        </w:tc>
      </w:tr>
      <w:tr w:rsidR="00DB0AAC" w:rsidTr="00DB0AAC">
        <w:trPr>
          <w:trHeight w:val="88"/>
        </w:trPr>
        <w:tc>
          <w:tcPr>
            <w:tcW w:w="8897" w:type="dxa"/>
            <w:gridSpan w:val="7"/>
          </w:tcPr>
          <w:p w:rsidR="00DB0AAC" w:rsidRDefault="00DB0AAC">
            <w:pPr>
              <w:pStyle w:val="Default"/>
              <w:rPr>
                <w:sz w:val="20"/>
                <w:szCs w:val="20"/>
              </w:rPr>
            </w:pPr>
            <w:r>
              <w:rPr>
                <w:b/>
                <w:bCs/>
                <w:i/>
                <w:iCs/>
                <w:sz w:val="20"/>
                <w:szCs w:val="20"/>
              </w:rPr>
              <w:t xml:space="preserve">Јавне финансије </w:t>
            </w:r>
          </w:p>
        </w:tc>
      </w:tr>
      <w:tr w:rsidR="00DB0AAC" w:rsidTr="004D0D8E">
        <w:trPr>
          <w:trHeight w:val="90"/>
        </w:trPr>
        <w:tc>
          <w:tcPr>
            <w:tcW w:w="3510" w:type="dxa"/>
            <w:gridSpan w:val="2"/>
          </w:tcPr>
          <w:p w:rsidR="00DB0AAC" w:rsidRDefault="00DB0AAC">
            <w:pPr>
              <w:pStyle w:val="Default"/>
              <w:rPr>
                <w:sz w:val="20"/>
                <w:szCs w:val="20"/>
              </w:rPr>
            </w:pPr>
            <w:r>
              <w:rPr>
                <w:i/>
                <w:iCs/>
                <w:sz w:val="20"/>
                <w:szCs w:val="20"/>
              </w:rPr>
              <w:t xml:space="preserve">Дефицит опште државе (% БДП) </w:t>
            </w:r>
          </w:p>
        </w:tc>
        <w:tc>
          <w:tcPr>
            <w:tcW w:w="1276" w:type="dxa"/>
          </w:tcPr>
          <w:p w:rsidR="00DB0AAC" w:rsidRDefault="00DB0AAC">
            <w:pPr>
              <w:pStyle w:val="Default"/>
              <w:rPr>
                <w:sz w:val="20"/>
                <w:szCs w:val="20"/>
              </w:rPr>
            </w:pPr>
            <w:r>
              <w:rPr>
                <w:i/>
                <w:iCs/>
                <w:sz w:val="20"/>
                <w:szCs w:val="20"/>
              </w:rPr>
              <w:t xml:space="preserve">0,7 </w:t>
            </w:r>
          </w:p>
        </w:tc>
        <w:tc>
          <w:tcPr>
            <w:tcW w:w="1418" w:type="dxa"/>
          </w:tcPr>
          <w:p w:rsidR="00DB0AAC" w:rsidRDefault="00DB0AAC">
            <w:pPr>
              <w:pStyle w:val="Default"/>
              <w:rPr>
                <w:sz w:val="20"/>
                <w:szCs w:val="20"/>
              </w:rPr>
            </w:pPr>
            <w:r>
              <w:rPr>
                <w:i/>
                <w:iCs/>
                <w:sz w:val="20"/>
                <w:szCs w:val="20"/>
              </w:rPr>
              <w:t xml:space="preserve">-0,7 </w:t>
            </w:r>
          </w:p>
        </w:tc>
        <w:tc>
          <w:tcPr>
            <w:tcW w:w="1417" w:type="dxa"/>
          </w:tcPr>
          <w:p w:rsidR="00DB0AAC" w:rsidRDefault="00DB0AAC">
            <w:pPr>
              <w:pStyle w:val="Default"/>
              <w:rPr>
                <w:sz w:val="20"/>
                <w:szCs w:val="20"/>
              </w:rPr>
            </w:pPr>
            <w:r>
              <w:rPr>
                <w:i/>
                <w:iCs/>
                <w:sz w:val="20"/>
                <w:szCs w:val="20"/>
              </w:rPr>
              <w:t xml:space="preserve">-0,5 </w:t>
            </w:r>
          </w:p>
        </w:tc>
        <w:tc>
          <w:tcPr>
            <w:tcW w:w="1276" w:type="dxa"/>
            <w:gridSpan w:val="2"/>
          </w:tcPr>
          <w:p w:rsidR="00DB0AAC" w:rsidRDefault="00DB0AAC">
            <w:pPr>
              <w:pStyle w:val="Default"/>
              <w:rPr>
                <w:sz w:val="20"/>
                <w:szCs w:val="20"/>
              </w:rPr>
            </w:pPr>
            <w:r>
              <w:rPr>
                <w:i/>
                <w:iCs/>
                <w:sz w:val="20"/>
                <w:szCs w:val="20"/>
              </w:rPr>
              <w:t xml:space="preserve">-0,5 </w:t>
            </w:r>
          </w:p>
        </w:tc>
      </w:tr>
    </w:tbl>
    <w:p w:rsidR="00DB0AAC" w:rsidRDefault="00DB0AAC" w:rsidP="00B06672">
      <w:pPr>
        <w:rPr>
          <w:i/>
          <w:iCs/>
          <w:sz w:val="18"/>
          <w:szCs w:val="18"/>
        </w:rPr>
      </w:pPr>
    </w:p>
    <w:p w:rsidR="00DB0AAC" w:rsidRDefault="00DB0AAC" w:rsidP="00B06672">
      <w:pPr>
        <w:rPr>
          <w:i/>
          <w:iCs/>
          <w:sz w:val="18"/>
          <w:szCs w:val="18"/>
        </w:rPr>
      </w:pPr>
      <w:r>
        <w:rPr>
          <w:i/>
          <w:iCs/>
          <w:sz w:val="18"/>
          <w:szCs w:val="18"/>
        </w:rPr>
        <w:t>Извор: МФИН</w:t>
      </w:r>
    </w:p>
    <w:p w:rsidR="00DB0AAC" w:rsidRPr="00DB0AAC" w:rsidRDefault="00DB0AAC" w:rsidP="00B06672">
      <w:pPr>
        <w:rPr>
          <w:sz w:val="24"/>
          <w:szCs w:val="24"/>
        </w:rPr>
      </w:pPr>
    </w:p>
    <w:p w:rsidR="00F637CD" w:rsidRPr="00F637CD" w:rsidRDefault="0030416D" w:rsidP="00562CA4">
      <w:pPr>
        <w:ind w:firstLine="720"/>
        <w:jc w:val="both"/>
        <w:rPr>
          <w:sz w:val="24"/>
          <w:szCs w:val="24"/>
        </w:rPr>
      </w:pPr>
      <w:r w:rsidRPr="00F637CD">
        <w:rPr>
          <w:sz w:val="24"/>
          <w:szCs w:val="24"/>
        </w:rPr>
        <w:t>Макроекономске проје</w:t>
      </w:r>
      <w:r w:rsidR="004D0D8E">
        <w:rPr>
          <w:sz w:val="24"/>
          <w:szCs w:val="24"/>
        </w:rPr>
        <w:t>кције за период од 2017. до 2020</w:t>
      </w:r>
      <w:r w:rsidRPr="00F637CD">
        <w:rPr>
          <w:sz w:val="24"/>
          <w:szCs w:val="24"/>
        </w:rPr>
        <w:t xml:space="preserve">. године указују на убрзану путању раста и развоја. Пројектована кумулативна стопа раста реалног БДП за наредне три године од 10,3% заснована је на расту домаће тражње, опоравку инвестиционе активности и расту животног стандарда становништва. Започети инвестициони циклус ће и у наредним годинама бити носећи развојни фактор, који ће, уз реструктурирање привреде, омогућити даље смањивање унутрашњих и спољних неравнотежа. Убрзање раста БДП у 2018. и 2019. години на по 3,5% засновано је, пре свега, на расту инвестиционе потрошње али и стандарда становништва на реалним основама. </w:t>
      </w:r>
    </w:p>
    <w:p w:rsidR="00A42ED2" w:rsidRPr="00562CA4" w:rsidRDefault="00A42ED2" w:rsidP="00562CA4">
      <w:pPr>
        <w:ind w:firstLine="720"/>
        <w:jc w:val="both"/>
        <w:rPr>
          <w:sz w:val="24"/>
          <w:szCs w:val="24"/>
        </w:rPr>
      </w:pPr>
      <w:r w:rsidRPr="00A42ED2">
        <w:rPr>
          <w:sz w:val="24"/>
          <w:szCs w:val="24"/>
        </w:rPr>
        <w:lastRenderedPageBreak/>
        <w:t>Инфлација се од почетка</w:t>
      </w:r>
      <w:r>
        <w:rPr>
          <w:sz w:val="24"/>
          <w:szCs w:val="24"/>
        </w:rPr>
        <w:t xml:space="preserve"> 2016.</w:t>
      </w:r>
      <w:r w:rsidRPr="00A42ED2">
        <w:rPr>
          <w:sz w:val="24"/>
          <w:szCs w:val="24"/>
        </w:rPr>
        <w:t xml:space="preserve"> године налази на ниском и стабилном нивоу. Почетак 2016. године карактеришу ниски инфлаторни притисци, како по основу већине домаћих фактора, тако и по основу ниских трошковних притисака из међународног окружења. Тако је међугодишња инфлација смањена са 2,4% у јануару на 0,6% у септембру и креће се и даље испод доње границе дозвољеног одступања од циља (4%±1,5 п.п.).Народна банка Србије ће, у сарадњи са Владом Републике Србије, снизити циљану стопу инфлације почевши од 2017. године са 4%±1,5 п.п. на 3%±1,5 п.п као резултат већ успостављене макроекономске стабилности и побољшаних економских изгледа за наредни период. Имајући у виду кретање инфлације испод доње границе циљаног коридора у периоду дужем од две године, као и уважавајући чињеницу да су инфлациона очекивања већ дуже време ниска и стабилна, стекли су се услови за измену циљане стопе међугодишње инфлације за 2017. и 2018. годину.</w:t>
      </w:r>
    </w:p>
    <w:p w:rsidR="00A42ED2" w:rsidRPr="00F507AD" w:rsidRDefault="00A42ED2" w:rsidP="00A42ED2">
      <w:pPr>
        <w:tabs>
          <w:tab w:val="left" w:pos="195"/>
        </w:tabs>
        <w:jc w:val="both"/>
        <w:rPr>
          <w:sz w:val="24"/>
          <w:szCs w:val="24"/>
        </w:rPr>
      </w:pPr>
      <w:r>
        <w:rPr>
          <w:b/>
          <w:sz w:val="24"/>
          <w:szCs w:val="24"/>
        </w:rPr>
        <w:tab/>
      </w:r>
      <w:r>
        <w:rPr>
          <w:b/>
          <w:sz w:val="24"/>
          <w:szCs w:val="24"/>
        </w:rPr>
        <w:tab/>
      </w:r>
      <w:r w:rsidRPr="00A42ED2">
        <w:rPr>
          <w:sz w:val="24"/>
          <w:szCs w:val="24"/>
        </w:rPr>
        <w:t>У наредном средњорочном периоду циљеви фискалне политике су усмерени на даље смањење фискалног дефицита и јавног дуга. Средњорочни фискални оквир предвиђа смањење дефицита опште државе на 1,0% БДП до 2019. године. Предвиђено је да се дуг у 2019. години спусти испод 70% БДП. Ово подразумева структурно фискално прилагођавање од око 4,0% БДП, од чега је већ у 2015. години остварено прилагођавање од 2,6%, а у 2016. од око 1,3% БДП. Структурни дефицит је ниво дефицита који не зависи од привредног циклуса и из ког су искључени једнократни приходи и расходи. Примарни резултат, као разлика фискалног резултата и нето отплата камата, има растући тренд и већ ове године се очекује остваривање примарног суфицита.</w:t>
      </w:r>
    </w:p>
    <w:p w:rsidR="00A42ED2" w:rsidRPr="00C627FB" w:rsidRDefault="004334E6" w:rsidP="00C627FB">
      <w:pPr>
        <w:tabs>
          <w:tab w:val="left" w:pos="195"/>
        </w:tabs>
        <w:jc w:val="both"/>
        <w:rPr>
          <w:sz w:val="24"/>
          <w:szCs w:val="24"/>
        </w:rPr>
      </w:pPr>
      <w:r>
        <w:rPr>
          <w:sz w:val="24"/>
          <w:szCs w:val="24"/>
        </w:rPr>
        <w:tab/>
      </w:r>
      <w:r>
        <w:rPr>
          <w:sz w:val="24"/>
          <w:szCs w:val="24"/>
        </w:rPr>
        <w:tab/>
      </w:r>
    </w:p>
    <w:p w:rsidR="00B515D6" w:rsidRPr="00B515D6" w:rsidRDefault="00410F3B" w:rsidP="00B515D6">
      <w:pPr>
        <w:tabs>
          <w:tab w:val="left" w:pos="2925"/>
        </w:tabs>
        <w:jc w:val="center"/>
        <w:rPr>
          <w:b/>
          <w:sz w:val="24"/>
          <w:szCs w:val="24"/>
        </w:rPr>
      </w:pPr>
      <w:r>
        <w:rPr>
          <w:b/>
          <w:sz w:val="24"/>
          <w:szCs w:val="24"/>
        </w:rPr>
        <w:t>2</w:t>
      </w:r>
      <w:r w:rsidR="00B515D6" w:rsidRPr="00B515D6">
        <w:rPr>
          <w:b/>
          <w:sz w:val="24"/>
          <w:szCs w:val="24"/>
        </w:rPr>
        <w:t>.ОПИС ПЛАНИРАНЕ ПОЛИТИКЕ ОПШТИНЕ МАЛО ЦРНИЋЕ</w:t>
      </w:r>
    </w:p>
    <w:p w:rsidR="00B515D6" w:rsidRDefault="00B515D6" w:rsidP="00B515D6">
      <w:pPr>
        <w:rPr>
          <w:sz w:val="24"/>
          <w:szCs w:val="24"/>
        </w:rPr>
      </w:pPr>
    </w:p>
    <w:p w:rsidR="0039382F" w:rsidRDefault="0039382F" w:rsidP="00B515D6">
      <w:pPr>
        <w:rPr>
          <w:sz w:val="24"/>
          <w:szCs w:val="24"/>
        </w:rPr>
      </w:pPr>
    </w:p>
    <w:p w:rsidR="004334E6" w:rsidRDefault="00EE38D1" w:rsidP="00B9084D">
      <w:pPr>
        <w:jc w:val="both"/>
        <w:rPr>
          <w:sz w:val="24"/>
          <w:szCs w:val="24"/>
        </w:rPr>
      </w:pPr>
      <w:r>
        <w:rPr>
          <w:sz w:val="24"/>
          <w:szCs w:val="24"/>
        </w:rPr>
        <w:tab/>
        <w:t>У периоду од 201</w:t>
      </w:r>
      <w:r>
        <w:rPr>
          <w:sz w:val="24"/>
          <w:szCs w:val="24"/>
          <w:lang/>
        </w:rPr>
        <w:t>9</w:t>
      </w:r>
      <w:r w:rsidR="004334E6">
        <w:rPr>
          <w:sz w:val="24"/>
          <w:szCs w:val="24"/>
        </w:rPr>
        <w:t>.до</w:t>
      </w:r>
      <w:r w:rsidR="0030416D">
        <w:rPr>
          <w:sz w:val="24"/>
          <w:szCs w:val="24"/>
        </w:rPr>
        <w:t xml:space="preserve"> </w:t>
      </w:r>
      <w:r>
        <w:rPr>
          <w:sz w:val="24"/>
          <w:szCs w:val="24"/>
        </w:rPr>
        <w:t>202</w:t>
      </w:r>
      <w:r>
        <w:rPr>
          <w:sz w:val="24"/>
          <w:szCs w:val="24"/>
          <w:lang/>
        </w:rPr>
        <w:t>1</w:t>
      </w:r>
      <w:r w:rsidR="004334E6">
        <w:rPr>
          <w:sz w:val="24"/>
          <w:szCs w:val="24"/>
        </w:rPr>
        <w:t>.године општина Мало Црниће ће обављати изворне, поверене и пренесене надлежности у складу са Уставном Републике Србије, Законом о локалној самоуправи. Општина ће наставити са пословима:</w:t>
      </w:r>
      <w:r w:rsidR="0030416D">
        <w:rPr>
          <w:sz w:val="24"/>
          <w:szCs w:val="24"/>
        </w:rPr>
        <w:t xml:space="preserve"> </w:t>
      </w:r>
      <w:r w:rsidR="004334E6">
        <w:rPr>
          <w:sz w:val="24"/>
          <w:szCs w:val="24"/>
        </w:rPr>
        <w:t>вођења политике економског развоја, урбанизма и просторног планирања, изградње и одржавања локалне комуналне и саобраћајне инфраструктуре, обављања комуналне делатности, организације културних и спортских активности, обезбеђење функционисања локалних установа у култури</w:t>
      </w:r>
      <w:r w:rsidR="00B9084D">
        <w:rPr>
          <w:sz w:val="24"/>
          <w:szCs w:val="24"/>
        </w:rPr>
        <w:t xml:space="preserve"> и предшколском васпитању и пружању услуга грађанима. </w:t>
      </w:r>
    </w:p>
    <w:p w:rsidR="00B9084D" w:rsidRDefault="00B9084D" w:rsidP="0030416D">
      <w:pPr>
        <w:ind w:firstLine="720"/>
        <w:jc w:val="both"/>
        <w:rPr>
          <w:sz w:val="24"/>
          <w:szCs w:val="24"/>
        </w:rPr>
      </w:pPr>
      <w:r>
        <w:rPr>
          <w:sz w:val="24"/>
          <w:szCs w:val="24"/>
        </w:rPr>
        <w:t xml:space="preserve">Општина ће обављати поверене и пренесене послове из надлежности: државне управе, социјалне заштите, здравствене заштите, предшколског и основног образовања, заштите животне средине рада инспекцијске службе.  </w:t>
      </w:r>
    </w:p>
    <w:p w:rsidR="00C627FB" w:rsidRPr="00EE38D1" w:rsidRDefault="00B9084D" w:rsidP="00F507AD">
      <w:pPr>
        <w:ind w:firstLine="720"/>
        <w:jc w:val="both"/>
        <w:rPr>
          <w:sz w:val="24"/>
          <w:szCs w:val="24"/>
          <w:lang/>
        </w:rPr>
      </w:pPr>
      <w:r>
        <w:rPr>
          <w:sz w:val="24"/>
          <w:szCs w:val="24"/>
        </w:rPr>
        <w:t>Општина ће у складу са приоритетима и стратешким циљевима и пројектима који су дефинисани Стратегијом одрживог развоја општине Мало Црниће з</w:t>
      </w:r>
      <w:r w:rsidR="00EE38D1">
        <w:rPr>
          <w:sz w:val="24"/>
          <w:szCs w:val="24"/>
        </w:rPr>
        <w:t xml:space="preserve">а период од 2015 до </w:t>
      </w:r>
      <w:proofErr w:type="spellStart"/>
      <w:r w:rsidR="00EE38D1">
        <w:rPr>
          <w:sz w:val="24"/>
          <w:szCs w:val="24"/>
        </w:rPr>
        <w:t>2020.године</w:t>
      </w:r>
      <w:proofErr w:type="spellEnd"/>
      <w:r w:rsidR="00EE38D1">
        <w:rPr>
          <w:sz w:val="24"/>
          <w:szCs w:val="24"/>
          <w:lang/>
        </w:rPr>
        <w:t xml:space="preserve"> планирати и спроводити капиталне пројекте.</w:t>
      </w:r>
    </w:p>
    <w:p w:rsidR="00F637CD" w:rsidRPr="00F637CD" w:rsidRDefault="00F637CD" w:rsidP="00F637CD">
      <w:pPr>
        <w:ind w:firstLine="720"/>
        <w:jc w:val="both"/>
        <w:rPr>
          <w:sz w:val="24"/>
          <w:szCs w:val="24"/>
        </w:rPr>
      </w:pPr>
    </w:p>
    <w:p w:rsidR="0030416D" w:rsidRDefault="0030416D" w:rsidP="0030416D">
      <w:pPr>
        <w:spacing w:line="232" w:lineRule="exact"/>
        <w:jc w:val="center"/>
        <w:rPr>
          <w:b/>
          <w:sz w:val="24"/>
          <w:szCs w:val="24"/>
        </w:rPr>
      </w:pPr>
      <w:r>
        <w:rPr>
          <w:b/>
          <w:sz w:val="24"/>
          <w:szCs w:val="24"/>
        </w:rPr>
        <w:t>3.ПРОЦЕНЕ ПРИХОДА И ПРИМАЊА, РАСХОДА И</w:t>
      </w:r>
      <w:r w:rsidR="00582B1E">
        <w:rPr>
          <w:b/>
          <w:sz w:val="24"/>
          <w:szCs w:val="24"/>
        </w:rPr>
        <w:t xml:space="preserve"> ИЗДАТАКА БУЏЕТА ОПШТИНЕ ЗА </w:t>
      </w:r>
      <w:proofErr w:type="spellStart"/>
      <w:r w:rsidR="00582B1E">
        <w:rPr>
          <w:b/>
          <w:sz w:val="24"/>
          <w:szCs w:val="24"/>
        </w:rPr>
        <w:t>2019</w:t>
      </w:r>
      <w:r>
        <w:rPr>
          <w:b/>
          <w:sz w:val="24"/>
          <w:szCs w:val="24"/>
        </w:rPr>
        <w:t>.ГОДИНУ</w:t>
      </w:r>
      <w:proofErr w:type="spellEnd"/>
      <w:r>
        <w:rPr>
          <w:b/>
          <w:sz w:val="24"/>
          <w:szCs w:val="24"/>
        </w:rPr>
        <w:t xml:space="preserve"> И НАРЕДНЕ ДВЕ ГОДИНЕ</w:t>
      </w:r>
    </w:p>
    <w:p w:rsidR="0030416D" w:rsidRPr="00C627FB" w:rsidRDefault="0030416D" w:rsidP="0030416D"/>
    <w:p w:rsidR="0030416D" w:rsidRDefault="0030416D" w:rsidP="0030416D"/>
    <w:p w:rsidR="0030416D" w:rsidRPr="00562CA4" w:rsidRDefault="0030416D" w:rsidP="0030416D">
      <w:pPr>
        <w:jc w:val="both"/>
        <w:rPr>
          <w:sz w:val="24"/>
          <w:szCs w:val="24"/>
        </w:rPr>
      </w:pPr>
      <w:r w:rsidRPr="00410F3B">
        <w:rPr>
          <w:sz w:val="24"/>
          <w:szCs w:val="24"/>
        </w:rPr>
        <w:t>1.При изради предл</w:t>
      </w:r>
      <w:r>
        <w:rPr>
          <w:sz w:val="24"/>
          <w:szCs w:val="24"/>
        </w:rPr>
        <w:t xml:space="preserve">ога </w:t>
      </w:r>
      <w:r w:rsidR="00EE38D1">
        <w:rPr>
          <w:sz w:val="24"/>
          <w:szCs w:val="24"/>
        </w:rPr>
        <w:t>финансијских планова за 201</w:t>
      </w:r>
      <w:r w:rsidR="00EE38D1">
        <w:rPr>
          <w:sz w:val="24"/>
          <w:szCs w:val="24"/>
          <w:lang/>
        </w:rPr>
        <w:t>9</w:t>
      </w:r>
      <w:r w:rsidRPr="00410F3B">
        <w:rPr>
          <w:sz w:val="24"/>
          <w:szCs w:val="24"/>
        </w:rPr>
        <w:t>. годину, корисници буџета треба да планирају расходе и издатке до нивоа утврђених овим Упутством, водећи рачуна при томе о донетим одлукама, уговореним обавезама и друго, од стране Скупштине општине, односно надлеж</w:t>
      </w:r>
      <w:r w:rsidR="00562CA4">
        <w:rPr>
          <w:sz w:val="24"/>
          <w:szCs w:val="24"/>
        </w:rPr>
        <w:t>ног органа општине Мало Црниће.</w:t>
      </w:r>
    </w:p>
    <w:p w:rsidR="004728A4" w:rsidRDefault="0030416D" w:rsidP="00C627FB">
      <w:pPr>
        <w:jc w:val="both"/>
        <w:rPr>
          <w:sz w:val="24"/>
          <w:szCs w:val="24"/>
          <w:lang/>
        </w:rPr>
      </w:pPr>
      <w:proofErr w:type="spellStart"/>
      <w:r w:rsidRPr="00410F3B">
        <w:rPr>
          <w:sz w:val="24"/>
          <w:szCs w:val="24"/>
        </w:rPr>
        <w:t>2.</w:t>
      </w:r>
      <w:r>
        <w:rPr>
          <w:sz w:val="24"/>
          <w:szCs w:val="24"/>
        </w:rPr>
        <w:t>У</w:t>
      </w:r>
      <w:proofErr w:type="spellEnd"/>
      <w:r>
        <w:rPr>
          <w:sz w:val="24"/>
          <w:szCs w:val="24"/>
        </w:rPr>
        <w:t xml:space="preserve"> складу са подацима о реализацији прихода у претходним годинама, планираним приходима и примањима и</w:t>
      </w:r>
      <w:r w:rsidR="00EE38D1">
        <w:rPr>
          <w:sz w:val="24"/>
          <w:szCs w:val="24"/>
        </w:rPr>
        <w:t>з Одлуке о буџету општине за 20</w:t>
      </w:r>
      <w:r w:rsidR="00EE38D1">
        <w:rPr>
          <w:sz w:val="24"/>
          <w:szCs w:val="24"/>
          <w:lang/>
        </w:rPr>
        <w:t>18</w:t>
      </w:r>
      <w:r>
        <w:rPr>
          <w:sz w:val="24"/>
          <w:szCs w:val="24"/>
        </w:rPr>
        <w:t>.годину</w:t>
      </w:r>
      <w:r w:rsidR="00EE38D1">
        <w:rPr>
          <w:sz w:val="24"/>
          <w:szCs w:val="24"/>
          <w:lang/>
        </w:rPr>
        <w:t>,</w:t>
      </w:r>
      <w:r>
        <w:rPr>
          <w:sz w:val="24"/>
          <w:szCs w:val="24"/>
        </w:rPr>
        <w:t xml:space="preserve"> израђена је пројекција буџетских прихода и примања у буџету општине за 2018.годину и наредне две фискалне године</w:t>
      </w:r>
      <w:r w:rsidRPr="00410F3B">
        <w:rPr>
          <w:sz w:val="24"/>
          <w:szCs w:val="24"/>
        </w:rPr>
        <w:t>:</w:t>
      </w:r>
    </w:p>
    <w:p w:rsidR="00EE38D1" w:rsidRDefault="00EE38D1" w:rsidP="00C627FB">
      <w:pPr>
        <w:jc w:val="both"/>
        <w:rPr>
          <w:sz w:val="24"/>
          <w:szCs w:val="24"/>
          <w:lang/>
        </w:rPr>
      </w:pPr>
    </w:p>
    <w:p w:rsidR="00EE38D1" w:rsidRDefault="00EE38D1" w:rsidP="00C627FB">
      <w:pPr>
        <w:jc w:val="both"/>
        <w:rPr>
          <w:sz w:val="24"/>
          <w:szCs w:val="24"/>
          <w:lang/>
        </w:rPr>
      </w:pPr>
    </w:p>
    <w:p w:rsidR="00EE38D1" w:rsidRPr="00EE38D1" w:rsidRDefault="00EE38D1" w:rsidP="00C627FB">
      <w:pPr>
        <w:jc w:val="both"/>
        <w:rPr>
          <w:sz w:val="24"/>
          <w:szCs w:val="24"/>
          <w:lang/>
        </w:rPr>
      </w:pPr>
    </w:p>
    <w:p w:rsidR="004D0D8E" w:rsidRPr="00EE38D1" w:rsidRDefault="009B26D6" w:rsidP="00EE38D1">
      <w:pPr>
        <w:tabs>
          <w:tab w:val="left" w:pos="7950"/>
        </w:tabs>
        <w:jc w:val="right"/>
        <w:rPr>
          <w:sz w:val="24"/>
          <w:szCs w:val="24"/>
          <w:lang/>
        </w:rPr>
      </w:pPr>
      <w:r>
        <w:rPr>
          <w:sz w:val="24"/>
          <w:szCs w:val="24"/>
        </w:rPr>
        <w:lastRenderedPageBreak/>
        <w:t>(у 000 динара)</w:t>
      </w:r>
    </w:p>
    <w:p w:rsidR="004728A4" w:rsidRDefault="004728A4" w:rsidP="004728A4">
      <w:pPr>
        <w:rPr>
          <w:sz w:val="24"/>
          <w:szCs w:val="24"/>
        </w:rPr>
      </w:pPr>
    </w:p>
    <w:tbl>
      <w:tblPr>
        <w:tblpPr w:leftFromText="180" w:rightFromText="180" w:vertAnchor="text" w:horzAnchor="margin" w:tblpY="26"/>
        <w:tblW w:w="9110" w:type="dxa"/>
        <w:tblLayout w:type="fixed"/>
        <w:tblCellMar>
          <w:left w:w="0" w:type="dxa"/>
          <w:right w:w="0" w:type="dxa"/>
        </w:tblCellMar>
        <w:tblLook w:val="04A0"/>
      </w:tblPr>
      <w:tblGrid>
        <w:gridCol w:w="800"/>
        <w:gridCol w:w="2740"/>
        <w:gridCol w:w="1460"/>
        <w:gridCol w:w="1400"/>
        <w:gridCol w:w="1420"/>
        <w:gridCol w:w="1260"/>
        <w:gridCol w:w="30"/>
      </w:tblGrid>
      <w:tr w:rsidR="0030416D" w:rsidTr="0030416D">
        <w:trPr>
          <w:trHeight w:val="286"/>
        </w:trPr>
        <w:tc>
          <w:tcPr>
            <w:tcW w:w="800" w:type="dxa"/>
            <w:tcBorders>
              <w:top w:val="single" w:sz="8" w:space="0" w:color="auto"/>
              <w:left w:val="single" w:sz="8" w:space="0" w:color="auto"/>
              <w:right w:val="single" w:sz="8" w:space="0" w:color="auto"/>
            </w:tcBorders>
            <w:vAlign w:val="bottom"/>
          </w:tcPr>
          <w:p w:rsidR="0030416D" w:rsidRDefault="0030416D" w:rsidP="0030416D">
            <w:pPr>
              <w:jc w:val="center"/>
              <w:rPr>
                <w:sz w:val="20"/>
                <w:szCs w:val="20"/>
              </w:rPr>
            </w:pPr>
            <w:proofErr w:type="spellStart"/>
            <w:r>
              <w:rPr>
                <w:rFonts w:eastAsia="Times New Roman"/>
                <w:sz w:val="24"/>
                <w:szCs w:val="24"/>
              </w:rPr>
              <w:t>Екон</w:t>
            </w:r>
            <w:proofErr w:type="spellEnd"/>
            <w:r>
              <w:rPr>
                <w:rFonts w:eastAsia="Times New Roman"/>
                <w:sz w:val="24"/>
                <w:szCs w:val="24"/>
              </w:rPr>
              <w:t>.</w:t>
            </w:r>
          </w:p>
        </w:tc>
        <w:tc>
          <w:tcPr>
            <w:tcW w:w="2740" w:type="dxa"/>
            <w:vMerge w:val="restart"/>
            <w:tcBorders>
              <w:top w:val="single" w:sz="8" w:space="0" w:color="auto"/>
              <w:bottom w:val="single" w:sz="8" w:space="0" w:color="auto"/>
              <w:right w:val="single" w:sz="8" w:space="0" w:color="auto"/>
            </w:tcBorders>
            <w:vAlign w:val="bottom"/>
          </w:tcPr>
          <w:p w:rsidR="0030416D" w:rsidRDefault="0030416D" w:rsidP="0030416D">
            <w:pPr>
              <w:ind w:left="640"/>
              <w:rPr>
                <w:sz w:val="20"/>
                <w:szCs w:val="20"/>
              </w:rPr>
            </w:pPr>
            <w:r>
              <w:rPr>
                <w:rFonts w:eastAsia="Times New Roman"/>
                <w:sz w:val="24"/>
                <w:szCs w:val="24"/>
              </w:rPr>
              <w:t>Опис прихода</w:t>
            </w:r>
          </w:p>
        </w:tc>
        <w:tc>
          <w:tcPr>
            <w:tcW w:w="1460" w:type="dxa"/>
            <w:tcBorders>
              <w:top w:val="single" w:sz="8" w:space="0" w:color="auto"/>
              <w:bottom w:val="single" w:sz="8" w:space="0" w:color="auto"/>
              <w:right w:val="single" w:sz="8" w:space="0" w:color="auto"/>
            </w:tcBorders>
            <w:vAlign w:val="bottom"/>
          </w:tcPr>
          <w:p w:rsidR="0030416D" w:rsidRDefault="0030416D" w:rsidP="0030416D">
            <w:pPr>
              <w:jc w:val="center"/>
              <w:rPr>
                <w:sz w:val="20"/>
                <w:szCs w:val="20"/>
              </w:rPr>
            </w:pPr>
            <w:r>
              <w:rPr>
                <w:rFonts w:eastAsia="Times New Roman"/>
                <w:sz w:val="24"/>
                <w:szCs w:val="24"/>
              </w:rPr>
              <w:t>Процена</w:t>
            </w:r>
          </w:p>
        </w:tc>
        <w:tc>
          <w:tcPr>
            <w:tcW w:w="1400" w:type="dxa"/>
            <w:tcBorders>
              <w:top w:val="single" w:sz="8" w:space="0" w:color="auto"/>
              <w:bottom w:val="single" w:sz="8" w:space="0" w:color="auto"/>
            </w:tcBorders>
            <w:vAlign w:val="bottom"/>
          </w:tcPr>
          <w:p w:rsidR="0030416D" w:rsidRDefault="0030416D" w:rsidP="0030416D">
            <w:pPr>
              <w:rPr>
                <w:sz w:val="24"/>
                <w:szCs w:val="24"/>
              </w:rPr>
            </w:pPr>
          </w:p>
        </w:tc>
        <w:tc>
          <w:tcPr>
            <w:tcW w:w="1420" w:type="dxa"/>
            <w:tcBorders>
              <w:top w:val="single" w:sz="8" w:space="0" w:color="auto"/>
              <w:bottom w:val="single" w:sz="8" w:space="0" w:color="auto"/>
            </w:tcBorders>
            <w:vAlign w:val="bottom"/>
          </w:tcPr>
          <w:p w:rsidR="0030416D" w:rsidRDefault="0030416D" w:rsidP="0030416D">
            <w:pPr>
              <w:ind w:right="100"/>
              <w:jc w:val="right"/>
              <w:rPr>
                <w:sz w:val="20"/>
                <w:szCs w:val="20"/>
              </w:rPr>
            </w:pPr>
            <w:r>
              <w:rPr>
                <w:rFonts w:eastAsia="Times New Roman"/>
                <w:sz w:val="24"/>
                <w:szCs w:val="24"/>
              </w:rPr>
              <w:t>Пројекција</w:t>
            </w:r>
          </w:p>
        </w:tc>
        <w:tc>
          <w:tcPr>
            <w:tcW w:w="1260" w:type="dxa"/>
            <w:tcBorders>
              <w:top w:val="single" w:sz="8" w:space="0" w:color="auto"/>
              <w:bottom w:val="single" w:sz="8" w:space="0" w:color="auto"/>
              <w:right w:val="single" w:sz="8" w:space="0" w:color="auto"/>
            </w:tcBorders>
            <w:vAlign w:val="bottom"/>
          </w:tcPr>
          <w:p w:rsidR="0030416D" w:rsidRDefault="0030416D" w:rsidP="0030416D">
            <w:pPr>
              <w:rPr>
                <w:sz w:val="24"/>
                <w:szCs w:val="24"/>
              </w:rPr>
            </w:pPr>
          </w:p>
        </w:tc>
        <w:tc>
          <w:tcPr>
            <w:tcW w:w="30" w:type="dxa"/>
            <w:vAlign w:val="bottom"/>
          </w:tcPr>
          <w:p w:rsidR="0030416D" w:rsidRDefault="0030416D" w:rsidP="0030416D">
            <w:pPr>
              <w:rPr>
                <w:sz w:val="1"/>
                <w:szCs w:val="1"/>
              </w:rPr>
            </w:pPr>
          </w:p>
        </w:tc>
      </w:tr>
      <w:tr w:rsidR="0030416D" w:rsidTr="0030416D">
        <w:trPr>
          <w:trHeight w:val="141"/>
        </w:trPr>
        <w:tc>
          <w:tcPr>
            <w:tcW w:w="800" w:type="dxa"/>
            <w:vMerge w:val="restart"/>
            <w:tcBorders>
              <w:left w:val="single" w:sz="8" w:space="0" w:color="auto"/>
              <w:right w:val="single" w:sz="8" w:space="0" w:color="auto"/>
            </w:tcBorders>
            <w:vAlign w:val="bottom"/>
          </w:tcPr>
          <w:p w:rsidR="0030416D" w:rsidRDefault="0030416D" w:rsidP="0030416D">
            <w:pPr>
              <w:spacing w:line="267" w:lineRule="exact"/>
              <w:jc w:val="center"/>
              <w:rPr>
                <w:sz w:val="20"/>
                <w:szCs w:val="20"/>
              </w:rPr>
            </w:pPr>
            <w:r>
              <w:rPr>
                <w:rFonts w:eastAsia="Times New Roman"/>
                <w:w w:val="97"/>
                <w:sz w:val="24"/>
                <w:szCs w:val="24"/>
              </w:rPr>
              <w:t>Клас.</w:t>
            </w:r>
          </w:p>
        </w:tc>
        <w:tc>
          <w:tcPr>
            <w:tcW w:w="2740" w:type="dxa"/>
            <w:vMerge/>
            <w:tcBorders>
              <w:right w:val="single" w:sz="8" w:space="0" w:color="auto"/>
            </w:tcBorders>
            <w:vAlign w:val="bottom"/>
          </w:tcPr>
          <w:p w:rsidR="0030416D" w:rsidRDefault="0030416D" w:rsidP="0030416D">
            <w:pPr>
              <w:rPr>
                <w:sz w:val="12"/>
                <w:szCs w:val="12"/>
              </w:rPr>
            </w:pPr>
          </w:p>
        </w:tc>
        <w:tc>
          <w:tcPr>
            <w:tcW w:w="1460" w:type="dxa"/>
            <w:vMerge w:val="restart"/>
            <w:tcBorders>
              <w:right w:val="single" w:sz="8" w:space="0" w:color="auto"/>
            </w:tcBorders>
            <w:vAlign w:val="bottom"/>
          </w:tcPr>
          <w:p w:rsidR="0030416D" w:rsidRPr="00EE38D1" w:rsidRDefault="00EE38D1" w:rsidP="0030416D">
            <w:pPr>
              <w:spacing w:line="267" w:lineRule="exact"/>
              <w:ind w:right="400"/>
              <w:jc w:val="right"/>
              <w:rPr>
                <w:sz w:val="20"/>
                <w:szCs w:val="20"/>
                <w:lang/>
              </w:rPr>
            </w:pPr>
            <w:r>
              <w:rPr>
                <w:rFonts w:eastAsia="Times New Roman"/>
                <w:sz w:val="24"/>
                <w:szCs w:val="24"/>
              </w:rPr>
              <w:t>201</w:t>
            </w:r>
            <w:r>
              <w:rPr>
                <w:rFonts w:eastAsia="Times New Roman"/>
                <w:sz w:val="24"/>
                <w:szCs w:val="24"/>
                <w:lang/>
              </w:rPr>
              <w:t>8</w:t>
            </w:r>
          </w:p>
        </w:tc>
        <w:tc>
          <w:tcPr>
            <w:tcW w:w="1400" w:type="dxa"/>
            <w:vMerge w:val="restart"/>
            <w:tcBorders>
              <w:right w:val="single" w:sz="8" w:space="0" w:color="auto"/>
            </w:tcBorders>
            <w:vAlign w:val="bottom"/>
          </w:tcPr>
          <w:p w:rsidR="0030416D" w:rsidRPr="00EE38D1" w:rsidRDefault="00EE38D1" w:rsidP="0030416D">
            <w:pPr>
              <w:spacing w:line="267" w:lineRule="exact"/>
              <w:ind w:right="360"/>
              <w:jc w:val="right"/>
              <w:rPr>
                <w:sz w:val="20"/>
                <w:szCs w:val="20"/>
                <w:lang/>
              </w:rPr>
            </w:pPr>
            <w:r>
              <w:rPr>
                <w:rFonts w:eastAsia="Times New Roman"/>
                <w:sz w:val="24"/>
                <w:szCs w:val="24"/>
              </w:rPr>
              <w:t>201</w:t>
            </w:r>
            <w:r>
              <w:rPr>
                <w:rFonts w:eastAsia="Times New Roman"/>
                <w:sz w:val="24"/>
                <w:szCs w:val="24"/>
                <w:lang/>
              </w:rPr>
              <w:t>9</w:t>
            </w:r>
          </w:p>
        </w:tc>
        <w:tc>
          <w:tcPr>
            <w:tcW w:w="1420" w:type="dxa"/>
            <w:vMerge w:val="restart"/>
            <w:tcBorders>
              <w:right w:val="single" w:sz="8" w:space="0" w:color="auto"/>
            </w:tcBorders>
            <w:vAlign w:val="bottom"/>
          </w:tcPr>
          <w:p w:rsidR="0030416D" w:rsidRPr="00EE38D1" w:rsidRDefault="00EE38D1" w:rsidP="0030416D">
            <w:pPr>
              <w:spacing w:line="267" w:lineRule="exact"/>
              <w:ind w:right="360"/>
              <w:jc w:val="right"/>
              <w:rPr>
                <w:sz w:val="20"/>
                <w:szCs w:val="20"/>
                <w:lang/>
              </w:rPr>
            </w:pPr>
            <w:r>
              <w:rPr>
                <w:rFonts w:eastAsia="Times New Roman"/>
                <w:sz w:val="24"/>
                <w:szCs w:val="24"/>
              </w:rPr>
              <w:t>20</w:t>
            </w:r>
            <w:r>
              <w:rPr>
                <w:rFonts w:eastAsia="Times New Roman"/>
                <w:sz w:val="24"/>
                <w:szCs w:val="24"/>
                <w:lang/>
              </w:rPr>
              <w:t>20</w:t>
            </w:r>
          </w:p>
        </w:tc>
        <w:tc>
          <w:tcPr>
            <w:tcW w:w="1260" w:type="dxa"/>
            <w:vMerge w:val="restart"/>
            <w:tcBorders>
              <w:right w:val="single" w:sz="8" w:space="0" w:color="auto"/>
            </w:tcBorders>
            <w:vAlign w:val="bottom"/>
          </w:tcPr>
          <w:p w:rsidR="0030416D" w:rsidRPr="00EE38D1" w:rsidRDefault="00EE38D1" w:rsidP="0030416D">
            <w:pPr>
              <w:spacing w:line="267" w:lineRule="exact"/>
              <w:ind w:right="280"/>
              <w:jc w:val="right"/>
              <w:rPr>
                <w:sz w:val="20"/>
                <w:szCs w:val="20"/>
                <w:lang/>
              </w:rPr>
            </w:pPr>
            <w:r>
              <w:rPr>
                <w:rFonts w:eastAsia="Times New Roman"/>
                <w:sz w:val="24"/>
                <w:szCs w:val="24"/>
              </w:rPr>
              <w:t>202</w:t>
            </w:r>
            <w:r>
              <w:rPr>
                <w:rFonts w:eastAsia="Times New Roman"/>
                <w:sz w:val="24"/>
                <w:szCs w:val="24"/>
                <w:lang/>
              </w:rPr>
              <w:t>1</w:t>
            </w:r>
          </w:p>
        </w:tc>
        <w:tc>
          <w:tcPr>
            <w:tcW w:w="30" w:type="dxa"/>
            <w:vAlign w:val="bottom"/>
          </w:tcPr>
          <w:p w:rsidR="0030416D" w:rsidRDefault="0030416D" w:rsidP="0030416D">
            <w:pPr>
              <w:rPr>
                <w:sz w:val="1"/>
                <w:szCs w:val="1"/>
              </w:rPr>
            </w:pPr>
          </w:p>
        </w:tc>
      </w:tr>
      <w:tr w:rsidR="0030416D" w:rsidTr="0030416D">
        <w:trPr>
          <w:trHeight w:val="126"/>
        </w:trPr>
        <w:tc>
          <w:tcPr>
            <w:tcW w:w="800" w:type="dxa"/>
            <w:vMerge/>
            <w:tcBorders>
              <w:left w:val="single" w:sz="8" w:space="0" w:color="auto"/>
              <w:bottom w:val="single" w:sz="8" w:space="0" w:color="auto"/>
              <w:right w:val="single" w:sz="8" w:space="0" w:color="auto"/>
            </w:tcBorders>
            <w:vAlign w:val="bottom"/>
          </w:tcPr>
          <w:p w:rsidR="0030416D" w:rsidRDefault="0030416D" w:rsidP="0030416D">
            <w:pPr>
              <w:rPr>
                <w:sz w:val="10"/>
                <w:szCs w:val="10"/>
              </w:rPr>
            </w:pPr>
          </w:p>
        </w:tc>
        <w:tc>
          <w:tcPr>
            <w:tcW w:w="2740" w:type="dxa"/>
            <w:tcBorders>
              <w:bottom w:val="single" w:sz="8" w:space="0" w:color="auto"/>
              <w:right w:val="single" w:sz="8" w:space="0" w:color="auto"/>
            </w:tcBorders>
            <w:vAlign w:val="bottom"/>
          </w:tcPr>
          <w:p w:rsidR="0030416D" w:rsidRDefault="0030416D" w:rsidP="0030416D">
            <w:pPr>
              <w:rPr>
                <w:sz w:val="10"/>
                <w:szCs w:val="10"/>
              </w:rPr>
            </w:pPr>
          </w:p>
        </w:tc>
        <w:tc>
          <w:tcPr>
            <w:tcW w:w="1460" w:type="dxa"/>
            <w:vMerge/>
            <w:tcBorders>
              <w:bottom w:val="single" w:sz="8" w:space="0" w:color="auto"/>
              <w:right w:val="single" w:sz="8" w:space="0" w:color="auto"/>
            </w:tcBorders>
            <w:vAlign w:val="bottom"/>
          </w:tcPr>
          <w:p w:rsidR="0030416D" w:rsidRDefault="0030416D" w:rsidP="0030416D">
            <w:pPr>
              <w:rPr>
                <w:sz w:val="10"/>
                <w:szCs w:val="10"/>
              </w:rPr>
            </w:pPr>
          </w:p>
        </w:tc>
        <w:tc>
          <w:tcPr>
            <w:tcW w:w="1400" w:type="dxa"/>
            <w:vMerge/>
            <w:tcBorders>
              <w:bottom w:val="single" w:sz="8" w:space="0" w:color="auto"/>
              <w:right w:val="single" w:sz="8" w:space="0" w:color="auto"/>
            </w:tcBorders>
            <w:vAlign w:val="bottom"/>
          </w:tcPr>
          <w:p w:rsidR="0030416D" w:rsidRDefault="0030416D" w:rsidP="0030416D">
            <w:pPr>
              <w:rPr>
                <w:sz w:val="10"/>
                <w:szCs w:val="10"/>
              </w:rPr>
            </w:pPr>
          </w:p>
        </w:tc>
        <w:tc>
          <w:tcPr>
            <w:tcW w:w="1420" w:type="dxa"/>
            <w:vMerge/>
            <w:tcBorders>
              <w:bottom w:val="single" w:sz="8" w:space="0" w:color="auto"/>
              <w:right w:val="single" w:sz="8" w:space="0" w:color="auto"/>
            </w:tcBorders>
            <w:vAlign w:val="bottom"/>
          </w:tcPr>
          <w:p w:rsidR="0030416D" w:rsidRDefault="0030416D" w:rsidP="0030416D">
            <w:pPr>
              <w:rPr>
                <w:sz w:val="10"/>
                <w:szCs w:val="10"/>
              </w:rPr>
            </w:pPr>
          </w:p>
        </w:tc>
        <w:tc>
          <w:tcPr>
            <w:tcW w:w="1260" w:type="dxa"/>
            <w:vMerge/>
            <w:tcBorders>
              <w:bottom w:val="single" w:sz="8" w:space="0" w:color="auto"/>
              <w:right w:val="single" w:sz="8" w:space="0" w:color="auto"/>
            </w:tcBorders>
            <w:vAlign w:val="bottom"/>
          </w:tcPr>
          <w:p w:rsidR="0030416D" w:rsidRDefault="0030416D" w:rsidP="0030416D">
            <w:pPr>
              <w:rPr>
                <w:sz w:val="10"/>
                <w:szCs w:val="10"/>
              </w:rPr>
            </w:pPr>
          </w:p>
        </w:tc>
        <w:tc>
          <w:tcPr>
            <w:tcW w:w="30" w:type="dxa"/>
            <w:vAlign w:val="bottom"/>
          </w:tcPr>
          <w:p w:rsidR="0030416D" w:rsidRDefault="0030416D" w:rsidP="0030416D">
            <w:pPr>
              <w:rPr>
                <w:sz w:val="1"/>
                <w:szCs w:val="1"/>
              </w:rPr>
            </w:pPr>
          </w:p>
        </w:tc>
      </w:tr>
      <w:tr w:rsidR="0030416D" w:rsidTr="0030416D">
        <w:trPr>
          <w:trHeight w:val="247"/>
        </w:trPr>
        <w:tc>
          <w:tcPr>
            <w:tcW w:w="800" w:type="dxa"/>
            <w:vMerge w:val="restart"/>
            <w:tcBorders>
              <w:left w:val="single" w:sz="8" w:space="0" w:color="auto"/>
              <w:right w:val="single" w:sz="8" w:space="0" w:color="auto"/>
            </w:tcBorders>
            <w:vAlign w:val="bottom"/>
          </w:tcPr>
          <w:p w:rsidR="0030416D" w:rsidRDefault="0030416D" w:rsidP="0030416D">
            <w:pPr>
              <w:jc w:val="center"/>
              <w:rPr>
                <w:sz w:val="20"/>
                <w:szCs w:val="20"/>
              </w:rPr>
            </w:pPr>
            <w:r>
              <w:rPr>
                <w:rFonts w:eastAsia="Times New Roman"/>
                <w:w w:val="99"/>
                <w:sz w:val="24"/>
                <w:szCs w:val="24"/>
              </w:rPr>
              <w:t>711</w:t>
            </w:r>
          </w:p>
        </w:tc>
        <w:tc>
          <w:tcPr>
            <w:tcW w:w="2740" w:type="dxa"/>
            <w:tcBorders>
              <w:right w:val="single" w:sz="8" w:space="0" w:color="auto"/>
            </w:tcBorders>
            <w:vAlign w:val="bottom"/>
          </w:tcPr>
          <w:p w:rsidR="0030416D" w:rsidRDefault="0030416D" w:rsidP="0030416D">
            <w:pPr>
              <w:spacing w:line="247" w:lineRule="exact"/>
              <w:ind w:left="100"/>
              <w:rPr>
                <w:sz w:val="20"/>
                <w:szCs w:val="20"/>
              </w:rPr>
            </w:pPr>
            <w:r>
              <w:rPr>
                <w:rFonts w:eastAsia="Times New Roman"/>
                <w:sz w:val="24"/>
                <w:szCs w:val="24"/>
              </w:rPr>
              <w:t>Порез на доходак, добит</w:t>
            </w:r>
          </w:p>
        </w:tc>
        <w:tc>
          <w:tcPr>
            <w:tcW w:w="1460" w:type="dxa"/>
            <w:tcBorders>
              <w:right w:val="single" w:sz="8" w:space="0" w:color="auto"/>
            </w:tcBorders>
            <w:vAlign w:val="bottom"/>
          </w:tcPr>
          <w:p w:rsidR="0030416D" w:rsidRDefault="0030416D" w:rsidP="0030416D">
            <w:pPr>
              <w:rPr>
                <w:sz w:val="21"/>
                <w:szCs w:val="21"/>
              </w:rPr>
            </w:pPr>
          </w:p>
        </w:tc>
        <w:tc>
          <w:tcPr>
            <w:tcW w:w="1400" w:type="dxa"/>
            <w:tcBorders>
              <w:right w:val="single" w:sz="8" w:space="0" w:color="auto"/>
            </w:tcBorders>
            <w:vAlign w:val="bottom"/>
          </w:tcPr>
          <w:p w:rsidR="0030416D" w:rsidRDefault="0030416D" w:rsidP="0030416D">
            <w:pPr>
              <w:rPr>
                <w:sz w:val="21"/>
                <w:szCs w:val="21"/>
              </w:rPr>
            </w:pPr>
          </w:p>
        </w:tc>
        <w:tc>
          <w:tcPr>
            <w:tcW w:w="1420" w:type="dxa"/>
            <w:tcBorders>
              <w:right w:val="single" w:sz="8" w:space="0" w:color="auto"/>
            </w:tcBorders>
            <w:vAlign w:val="bottom"/>
          </w:tcPr>
          <w:p w:rsidR="0030416D" w:rsidRDefault="0030416D" w:rsidP="0030416D">
            <w:pPr>
              <w:rPr>
                <w:sz w:val="21"/>
                <w:szCs w:val="21"/>
              </w:rPr>
            </w:pPr>
          </w:p>
        </w:tc>
        <w:tc>
          <w:tcPr>
            <w:tcW w:w="1260" w:type="dxa"/>
            <w:tcBorders>
              <w:right w:val="single" w:sz="8" w:space="0" w:color="auto"/>
            </w:tcBorders>
            <w:vAlign w:val="bottom"/>
          </w:tcPr>
          <w:p w:rsidR="0030416D" w:rsidRDefault="0030416D" w:rsidP="0030416D">
            <w:pPr>
              <w:rPr>
                <w:sz w:val="21"/>
                <w:szCs w:val="21"/>
              </w:rPr>
            </w:pPr>
          </w:p>
        </w:tc>
        <w:tc>
          <w:tcPr>
            <w:tcW w:w="30" w:type="dxa"/>
            <w:vAlign w:val="bottom"/>
          </w:tcPr>
          <w:p w:rsidR="0030416D" w:rsidRDefault="0030416D" w:rsidP="0030416D">
            <w:pPr>
              <w:rPr>
                <w:sz w:val="1"/>
                <w:szCs w:val="1"/>
              </w:rPr>
            </w:pPr>
          </w:p>
        </w:tc>
      </w:tr>
      <w:tr w:rsidR="003409D0" w:rsidTr="003409D0">
        <w:trPr>
          <w:trHeight w:val="174"/>
        </w:trPr>
        <w:tc>
          <w:tcPr>
            <w:tcW w:w="800" w:type="dxa"/>
            <w:vMerge/>
            <w:tcBorders>
              <w:left w:val="single" w:sz="8" w:space="0" w:color="auto"/>
              <w:right w:val="single" w:sz="8" w:space="0" w:color="auto"/>
            </w:tcBorders>
            <w:vAlign w:val="bottom"/>
          </w:tcPr>
          <w:p w:rsidR="003409D0" w:rsidRDefault="003409D0" w:rsidP="003409D0">
            <w:pPr>
              <w:rPr>
                <w:sz w:val="15"/>
                <w:szCs w:val="15"/>
              </w:rPr>
            </w:pPr>
          </w:p>
        </w:tc>
        <w:tc>
          <w:tcPr>
            <w:tcW w:w="2740" w:type="dxa"/>
            <w:vMerge w:val="restart"/>
            <w:tcBorders>
              <w:right w:val="single" w:sz="8" w:space="0" w:color="auto"/>
            </w:tcBorders>
            <w:vAlign w:val="bottom"/>
          </w:tcPr>
          <w:p w:rsidR="003409D0" w:rsidRDefault="003409D0" w:rsidP="003409D0">
            <w:pPr>
              <w:ind w:left="100"/>
              <w:rPr>
                <w:sz w:val="20"/>
                <w:szCs w:val="20"/>
              </w:rPr>
            </w:pPr>
            <w:r>
              <w:rPr>
                <w:rFonts w:eastAsia="Times New Roman"/>
                <w:sz w:val="24"/>
                <w:szCs w:val="24"/>
              </w:rPr>
              <w:t>и капиталне добитке</w:t>
            </w:r>
          </w:p>
        </w:tc>
        <w:tc>
          <w:tcPr>
            <w:tcW w:w="1460" w:type="dxa"/>
            <w:vMerge w:val="restart"/>
            <w:tcBorders>
              <w:right w:val="single" w:sz="8" w:space="0" w:color="auto"/>
            </w:tcBorders>
            <w:vAlign w:val="bottom"/>
          </w:tcPr>
          <w:p w:rsidR="003409D0" w:rsidRPr="00717C12" w:rsidRDefault="003409D0" w:rsidP="003409D0">
            <w:pPr>
              <w:jc w:val="right"/>
              <w:rPr>
                <w:sz w:val="24"/>
                <w:szCs w:val="24"/>
                <w:lang/>
              </w:rPr>
            </w:pPr>
            <w:r>
              <w:rPr>
                <w:sz w:val="24"/>
                <w:szCs w:val="24"/>
                <w:lang/>
              </w:rPr>
              <w:t>39.847</w:t>
            </w:r>
          </w:p>
        </w:tc>
        <w:tc>
          <w:tcPr>
            <w:tcW w:w="1400" w:type="dxa"/>
            <w:vMerge w:val="restart"/>
            <w:tcBorders>
              <w:right w:val="single" w:sz="8" w:space="0" w:color="auto"/>
            </w:tcBorders>
            <w:vAlign w:val="bottom"/>
          </w:tcPr>
          <w:p w:rsidR="003409D0" w:rsidRPr="00717C12" w:rsidRDefault="003409D0" w:rsidP="003409D0">
            <w:pPr>
              <w:jc w:val="right"/>
              <w:rPr>
                <w:sz w:val="24"/>
                <w:szCs w:val="24"/>
                <w:lang/>
              </w:rPr>
            </w:pPr>
            <w:r>
              <w:rPr>
                <w:sz w:val="24"/>
                <w:szCs w:val="24"/>
                <w:lang/>
              </w:rPr>
              <w:t>39.847</w:t>
            </w:r>
          </w:p>
        </w:tc>
        <w:tc>
          <w:tcPr>
            <w:tcW w:w="1420" w:type="dxa"/>
            <w:vMerge w:val="restart"/>
            <w:tcBorders>
              <w:right w:val="single" w:sz="8" w:space="0" w:color="auto"/>
            </w:tcBorders>
            <w:vAlign w:val="bottom"/>
          </w:tcPr>
          <w:p w:rsidR="003409D0" w:rsidRPr="00717C12" w:rsidRDefault="003409D0" w:rsidP="003409D0">
            <w:pPr>
              <w:jc w:val="right"/>
              <w:rPr>
                <w:sz w:val="24"/>
                <w:szCs w:val="24"/>
                <w:lang/>
              </w:rPr>
            </w:pPr>
            <w:r>
              <w:rPr>
                <w:sz w:val="24"/>
                <w:szCs w:val="24"/>
                <w:lang/>
              </w:rPr>
              <w:t>39.847</w:t>
            </w:r>
          </w:p>
        </w:tc>
        <w:tc>
          <w:tcPr>
            <w:tcW w:w="1260" w:type="dxa"/>
            <w:vMerge w:val="restart"/>
            <w:tcBorders>
              <w:right w:val="single" w:sz="8" w:space="0" w:color="auto"/>
            </w:tcBorders>
            <w:vAlign w:val="bottom"/>
          </w:tcPr>
          <w:p w:rsidR="003409D0" w:rsidRPr="00717C12" w:rsidRDefault="003409D0" w:rsidP="003409D0">
            <w:pPr>
              <w:jc w:val="right"/>
              <w:rPr>
                <w:sz w:val="24"/>
                <w:szCs w:val="24"/>
                <w:lang/>
              </w:rPr>
            </w:pPr>
            <w:r>
              <w:rPr>
                <w:sz w:val="24"/>
                <w:szCs w:val="24"/>
                <w:lang/>
              </w:rPr>
              <w:t>39.847</w:t>
            </w:r>
          </w:p>
        </w:tc>
        <w:tc>
          <w:tcPr>
            <w:tcW w:w="30" w:type="dxa"/>
            <w:vAlign w:val="bottom"/>
          </w:tcPr>
          <w:p w:rsidR="003409D0" w:rsidRDefault="003409D0" w:rsidP="003409D0">
            <w:pPr>
              <w:rPr>
                <w:sz w:val="1"/>
                <w:szCs w:val="1"/>
              </w:rPr>
            </w:pPr>
          </w:p>
        </w:tc>
      </w:tr>
      <w:tr w:rsidR="003409D0" w:rsidTr="003409D0">
        <w:trPr>
          <w:trHeight w:val="223"/>
        </w:trPr>
        <w:tc>
          <w:tcPr>
            <w:tcW w:w="800" w:type="dxa"/>
            <w:tcBorders>
              <w:left w:val="single" w:sz="8" w:space="0" w:color="auto"/>
              <w:bottom w:val="single" w:sz="8" w:space="0" w:color="auto"/>
              <w:right w:val="single" w:sz="8" w:space="0" w:color="auto"/>
            </w:tcBorders>
            <w:vAlign w:val="bottom"/>
          </w:tcPr>
          <w:p w:rsidR="003409D0" w:rsidRDefault="003409D0" w:rsidP="003409D0">
            <w:pPr>
              <w:rPr>
                <w:sz w:val="10"/>
                <w:szCs w:val="10"/>
              </w:rPr>
            </w:pPr>
          </w:p>
        </w:tc>
        <w:tc>
          <w:tcPr>
            <w:tcW w:w="2740" w:type="dxa"/>
            <w:vMerge/>
            <w:tcBorders>
              <w:bottom w:val="single" w:sz="8" w:space="0" w:color="auto"/>
              <w:right w:val="single" w:sz="8" w:space="0" w:color="auto"/>
            </w:tcBorders>
            <w:vAlign w:val="bottom"/>
          </w:tcPr>
          <w:p w:rsidR="003409D0" w:rsidRDefault="003409D0" w:rsidP="003409D0">
            <w:pPr>
              <w:rPr>
                <w:sz w:val="10"/>
                <w:szCs w:val="10"/>
              </w:rPr>
            </w:pPr>
          </w:p>
        </w:tc>
        <w:tc>
          <w:tcPr>
            <w:tcW w:w="1460" w:type="dxa"/>
            <w:vMerge/>
            <w:tcBorders>
              <w:bottom w:val="single" w:sz="8" w:space="0" w:color="auto"/>
              <w:right w:val="single" w:sz="8" w:space="0" w:color="auto"/>
            </w:tcBorders>
            <w:vAlign w:val="bottom"/>
          </w:tcPr>
          <w:p w:rsidR="003409D0" w:rsidRPr="00A7441D" w:rsidRDefault="003409D0" w:rsidP="003409D0">
            <w:pPr>
              <w:jc w:val="right"/>
              <w:rPr>
                <w:sz w:val="24"/>
                <w:szCs w:val="24"/>
              </w:rPr>
            </w:pPr>
          </w:p>
        </w:tc>
        <w:tc>
          <w:tcPr>
            <w:tcW w:w="1400" w:type="dxa"/>
            <w:vMerge/>
            <w:tcBorders>
              <w:bottom w:val="single" w:sz="8" w:space="0" w:color="auto"/>
              <w:right w:val="single" w:sz="8" w:space="0" w:color="auto"/>
            </w:tcBorders>
            <w:vAlign w:val="bottom"/>
          </w:tcPr>
          <w:p w:rsidR="003409D0" w:rsidRPr="00EE32E3" w:rsidRDefault="003409D0" w:rsidP="003409D0">
            <w:pPr>
              <w:jc w:val="right"/>
              <w:rPr>
                <w:sz w:val="24"/>
                <w:szCs w:val="24"/>
              </w:rPr>
            </w:pPr>
          </w:p>
        </w:tc>
        <w:tc>
          <w:tcPr>
            <w:tcW w:w="1420" w:type="dxa"/>
            <w:vMerge/>
            <w:tcBorders>
              <w:bottom w:val="single" w:sz="8" w:space="0" w:color="auto"/>
              <w:right w:val="single" w:sz="8" w:space="0" w:color="auto"/>
            </w:tcBorders>
            <w:vAlign w:val="bottom"/>
          </w:tcPr>
          <w:p w:rsidR="003409D0" w:rsidRPr="003343D4" w:rsidRDefault="003409D0" w:rsidP="003409D0">
            <w:pPr>
              <w:jc w:val="right"/>
              <w:rPr>
                <w:sz w:val="24"/>
                <w:szCs w:val="24"/>
              </w:rPr>
            </w:pPr>
          </w:p>
        </w:tc>
        <w:tc>
          <w:tcPr>
            <w:tcW w:w="1260" w:type="dxa"/>
            <w:vMerge/>
            <w:tcBorders>
              <w:bottom w:val="single" w:sz="8" w:space="0" w:color="auto"/>
              <w:right w:val="single" w:sz="8" w:space="0" w:color="auto"/>
            </w:tcBorders>
            <w:vAlign w:val="bottom"/>
          </w:tcPr>
          <w:p w:rsidR="003409D0" w:rsidRPr="00AB1ADC" w:rsidRDefault="003409D0" w:rsidP="003409D0">
            <w:pPr>
              <w:jc w:val="right"/>
              <w:rPr>
                <w:sz w:val="24"/>
                <w:szCs w:val="24"/>
              </w:rPr>
            </w:pPr>
          </w:p>
        </w:tc>
        <w:tc>
          <w:tcPr>
            <w:tcW w:w="30" w:type="dxa"/>
            <w:vAlign w:val="bottom"/>
          </w:tcPr>
          <w:p w:rsidR="003409D0" w:rsidRDefault="003409D0" w:rsidP="003409D0">
            <w:pPr>
              <w:rPr>
                <w:sz w:val="1"/>
                <w:szCs w:val="1"/>
              </w:rPr>
            </w:pPr>
          </w:p>
        </w:tc>
      </w:tr>
      <w:tr w:rsidR="003409D0" w:rsidTr="003409D0">
        <w:trPr>
          <w:trHeight w:val="266"/>
        </w:trPr>
        <w:tc>
          <w:tcPr>
            <w:tcW w:w="800" w:type="dxa"/>
            <w:tcBorders>
              <w:left w:val="single" w:sz="8" w:space="0" w:color="auto"/>
              <w:bottom w:val="single" w:sz="8" w:space="0" w:color="auto"/>
              <w:right w:val="single" w:sz="8" w:space="0" w:color="auto"/>
            </w:tcBorders>
            <w:vAlign w:val="bottom"/>
          </w:tcPr>
          <w:p w:rsidR="003409D0" w:rsidRDefault="003409D0" w:rsidP="003409D0">
            <w:pPr>
              <w:spacing w:line="265" w:lineRule="exact"/>
              <w:jc w:val="center"/>
              <w:rPr>
                <w:sz w:val="20"/>
                <w:szCs w:val="20"/>
              </w:rPr>
            </w:pPr>
            <w:r>
              <w:rPr>
                <w:rFonts w:eastAsia="Times New Roman"/>
                <w:w w:val="99"/>
                <w:sz w:val="24"/>
                <w:szCs w:val="24"/>
              </w:rPr>
              <w:t>713</w:t>
            </w:r>
          </w:p>
        </w:tc>
        <w:tc>
          <w:tcPr>
            <w:tcW w:w="2740" w:type="dxa"/>
            <w:tcBorders>
              <w:bottom w:val="single" w:sz="8" w:space="0" w:color="auto"/>
              <w:right w:val="single" w:sz="8" w:space="0" w:color="auto"/>
            </w:tcBorders>
            <w:vAlign w:val="bottom"/>
          </w:tcPr>
          <w:p w:rsidR="003409D0" w:rsidRDefault="003409D0" w:rsidP="003409D0">
            <w:pPr>
              <w:spacing w:line="265" w:lineRule="exact"/>
              <w:ind w:left="100"/>
              <w:rPr>
                <w:sz w:val="20"/>
                <w:szCs w:val="20"/>
              </w:rPr>
            </w:pPr>
            <w:r>
              <w:rPr>
                <w:rFonts w:eastAsia="Times New Roman"/>
                <w:sz w:val="24"/>
                <w:szCs w:val="24"/>
              </w:rPr>
              <w:t>Порез на имовину</w:t>
            </w:r>
          </w:p>
        </w:tc>
        <w:tc>
          <w:tcPr>
            <w:tcW w:w="1460" w:type="dxa"/>
            <w:tcBorders>
              <w:bottom w:val="single" w:sz="8" w:space="0" w:color="auto"/>
              <w:right w:val="single" w:sz="8" w:space="0" w:color="auto"/>
            </w:tcBorders>
            <w:vAlign w:val="bottom"/>
          </w:tcPr>
          <w:p w:rsidR="003409D0" w:rsidRPr="00717C12" w:rsidRDefault="003409D0" w:rsidP="003409D0">
            <w:pPr>
              <w:spacing w:line="265" w:lineRule="exact"/>
              <w:jc w:val="right"/>
              <w:rPr>
                <w:sz w:val="24"/>
                <w:szCs w:val="24"/>
                <w:lang/>
              </w:rPr>
            </w:pPr>
            <w:r>
              <w:rPr>
                <w:sz w:val="24"/>
                <w:szCs w:val="24"/>
                <w:lang/>
              </w:rPr>
              <w:t>24.700</w:t>
            </w:r>
          </w:p>
        </w:tc>
        <w:tc>
          <w:tcPr>
            <w:tcW w:w="1400" w:type="dxa"/>
            <w:tcBorders>
              <w:bottom w:val="single" w:sz="8" w:space="0" w:color="auto"/>
              <w:right w:val="single" w:sz="8" w:space="0" w:color="auto"/>
            </w:tcBorders>
            <w:vAlign w:val="bottom"/>
          </w:tcPr>
          <w:p w:rsidR="003409D0" w:rsidRPr="00717C12" w:rsidRDefault="003409D0" w:rsidP="003409D0">
            <w:pPr>
              <w:spacing w:line="265" w:lineRule="exact"/>
              <w:jc w:val="right"/>
              <w:rPr>
                <w:sz w:val="24"/>
                <w:szCs w:val="24"/>
                <w:lang/>
              </w:rPr>
            </w:pPr>
            <w:r>
              <w:rPr>
                <w:sz w:val="24"/>
                <w:szCs w:val="24"/>
                <w:lang/>
              </w:rPr>
              <w:t>24.700</w:t>
            </w:r>
          </w:p>
        </w:tc>
        <w:tc>
          <w:tcPr>
            <w:tcW w:w="1420" w:type="dxa"/>
            <w:tcBorders>
              <w:bottom w:val="single" w:sz="8" w:space="0" w:color="auto"/>
              <w:right w:val="single" w:sz="8" w:space="0" w:color="auto"/>
            </w:tcBorders>
            <w:vAlign w:val="bottom"/>
          </w:tcPr>
          <w:p w:rsidR="003409D0" w:rsidRPr="00717C12" w:rsidRDefault="003409D0" w:rsidP="003409D0">
            <w:pPr>
              <w:spacing w:line="265" w:lineRule="exact"/>
              <w:jc w:val="right"/>
              <w:rPr>
                <w:sz w:val="24"/>
                <w:szCs w:val="24"/>
                <w:lang/>
              </w:rPr>
            </w:pPr>
            <w:r>
              <w:rPr>
                <w:sz w:val="24"/>
                <w:szCs w:val="24"/>
                <w:lang/>
              </w:rPr>
              <w:t>24.700</w:t>
            </w:r>
          </w:p>
        </w:tc>
        <w:tc>
          <w:tcPr>
            <w:tcW w:w="1260" w:type="dxa"/>
            <w:tcBorders>
              <w:bottom w:val="single" w:sz="8" w:space="0" w:color="auto"/>
              <w:right w:val="single" w:sz="8" w:space="0" w:color="auto"/>
            </w:tcBorders>
            <w:vAlign w:val="bottom"/>
          </w:tcPr>
          <w:p w:rsidR="003409D0" w:rsidRPr="00717C12" w:rsidRDefault="003409D0" w:rsidP="003409D0">
            <w:pPr>
              <w:spacing w:line="265" w:lineRule="exact"/>
              <w:jc w:val="right"/>
              <w:rPr>
                <w:sz w:val="24"/>
                <w:szCs w:val="24"/>
                <w:lang/>
              </w:rPr>
            </w:pPr>
            <w:r>
              <w:rPr>
                <w:sz w:val="24"/>
                <w:szCs w:val="24"/>
                <w:lang/>
              </w:rPr>
              <w:t>24.700</w:t>
            </w:r>
          </w:p>
        </w:tc>
        <w:tc>
          <w:tcPr>
            <w:tcW w:w="30" w:type="dxa"/>
            <w:vAlign w:val="bottom"/>
          </w:tcPr>
          <w:p w:rsidR="003409D0" w:rsidRDefault="003409D0" w:rsidP="003409D0">
            <w:pPr>
              <w:rPr>
                <w:sz w:val="1"/>
                <w:szCs w:val="1"/>
              </w:rPr>
            </w:pPr>
          </w:p>
        </w:tc>
      </w:tr>
      <w:tr w:rsidR="003409D0" w:rsidTr="003409D0">
        <w:trPr>
          <w:trHeight w:val="267"/>
        </w:trPr>
        <w:tc>
          <w:tcPr>
            <w:tcW w:w="800" w:type="dxa"/>
            <w:tcBorders>
              <w:left w:val="single" w:sz="8" w:space="0" w:color="auto"/>
              <w:bottom w:val="single" w:sz="8" w:space="0" w:color="auto"/>
              <w:right w:val="single" w:sz="8" w:space="0" w:color="auto"/>
            </w:tcBorders>
            <w:vAlign w:val="bottom"/>
          </w:tcPr>
          <w:p w:rsidR="003409D0" w:rsidRDefault="003409D0" w:rsidP="003409D0">
            <w:pPr>
              <w:spacing w:line="267" w:lineRule="exact"/>
              <w:jc w:val="center"/>
              <w:rPr>
                <w:sz w:val="20"/>
                <w:szCs w:val="20"/>
              </w:rPr>
            </w:pPr>
            <w:r>
              <w:rPr>
                <w:rFonts w:eastAsia="Times New Roman"/>
                <w:w w:val="99"/>
                <w:sz w:val="24"/>
                <w:szCs w:val="24"/>
              </w:rPr>
              <w:t>714</w:t>
            </w:r>
          </w:p>
        </w:tc>
        <w:tc>
          <w:tcPr>
            <w:tcW w:w="2740" w:type="dxa"/>
            <w:tcBorders>
              <w:bottom w:val="single" w:sz="8" w:space="0" w:color="auto"/>
              <w:right w:val="single" w:sz="8" w:space="0" w:color="auto"/>
            </w:tcBorders>
            <w:vAlign w:val="bottom"/>
          </w:tcPr>
          <w:p w:rsidR="003409D0" w:rsidRDefault="003409D0" w:rsidP="003409D0">
            <w:pPr>
              <w:spacing w:line="267" w:lineRule="exact"/>
              <w:ind w:left="100"/>
              <w:rPr>
                <w:sz w:val="20"/>
                <w:szCs w:val="20"/>
              </w:rPr>
            </w:pPr>
            <w:r>
              <w:rPr>
                <w:rFonts w:eastAsia="Times New Roman"/>
                <w:sz w:val="24"/>
                <w:szCs w:val="24"/>
              </w:rPr>
              <w:t>Порез на добра и услуге</w:t>
            </w:r>
          </w:p>
        </w:tc>
        <w:tc>
          <w:tcPr>
            <w:tcW w:w="1460" w:type="dxa"/>
            <w:tcBorders>
              <w:bottom w:val="single" w:sz="8" w:space="0" w:color="auto"/>
              <w:right w:val="single" w:sz="8" w:space="0" w:color="auto"/>
            </w:tcBorders>
            <w:vAlign w:val="bottom"/>
          </w:tcPr>
          <w:p w:rsidR="003409D0" w:rsidRPr="00717C12" w:rsidRDefault="003409D0" w:rsidP="003409D0">
            <w:pPr>
              <w:spacing w:line="267" w:lineRule="exact"/>
              <w:jc w:val="right"/>
              <w:rPr>
                <w:sz w:val="24"/>
                <w:szCs w:val="24"/>
                <w:lang/>
              </w:rPr>
            </w:pPr>
            <w:r>
              <w:rPr>
                <w:sz w:val="24"/>
                <w:szCs w:val="24"/>
                <w:lang/>
              </w:rPr>
              <w:t>7.490</w:t>
            </w:r>
          </w:p>
        </w:tc>
        <w:tc>
          <w:tcPr>
            <w:tcW w:w="1400" w:type="dxa"/>
            <w:tcBorders>
              <w:bottom w:val="single" w:sz="8" w:space="0" w:color="auto"/>
              <w:right w:val="single" w:sz="8" w:space="0" w:color="auto"/>
            </w:tcBorders>
            <w:vAlign w:val="bottom"/>
          </w:tcPr>
          <w:p w:rsidR="003409D0" w:rsidRPr="00717C12" w:rsidRDefault="003409D0" w:rsidP="003409D0">
            <w:pPr>
              <w:spacing w:line="267" w:lineRule="exact"/>
              <w:jc w:val="right"/>
              <w:rPr>
                <w:sz w:val="24"/>
                <w:szCs w:val="24"/>
                <w:lang/>
              </w:rPr>
            </w:pPr>
            <w:r>
              <w:rPr>
                <w:sz w:val="24"/>
                <w:szCs w:val="24"/>
                <w:lang/>
              </w:rPr>
              <w:t>7.490</w:t>
            </w:r>
          </w:p>
        </w:tc>
        <w:tc>
          <w:tcPr>
            <w:tcW w:w="1420" w:type="dxa"/>
            <w:tcBorders>
              <w:bottom w:val="single" w:sz="8" w:space="0" w:color="auto"/>
              <w:right w:val="single" w:sz="8" w:space="0" w:color="auto"/>
            </w:tcBorders>
            <w:vAlign w:val="bottom"/>
          </w:tcPr>
          <w:p w:rsidR="003409D0" w:rsidRPr="00717C12" w:rsidRDefault="003409D0" w:rsidP="003409D0">
            <w:pPr>
              <w:spacing w:line="267" w:lineRule="exact"/>
              <w:jc w:val="right"/>
              <w:rPr>
                <w:sz w:val="24"/>
                <w:szCs w:val="24"/>
                <w:lang/>
              </w:rPr>
            </w:pPr>
            <w:r>
              <w:rPr>
                <w:sz w:val="24"/>
                <w:szCs w:val="24"/>
                <w:lang/>
              </w:rPr>
              <w:t>7.490</w:t>
            </w:r>
          </w:p>
        </w:tc>
        <w:tc>
          <w:tcPr>
            <w:tcW w:w="1260" w:type="dxa"/>
            <w:tcBorders>
              <w:bottom w:val="single" w:sz="8" w:space="0" w:color="auto"/>
              <w:right w:val="single" w:sz="8" w:space="0" w:color="auto"/>
            </w:tcBorders>
            <w:vAlign w:val="bottom"/>
          </w:tcPr>
          <w:p w:rsidR="003409D0" w:rsidRPr="00717C12" w:rsidRDefault="003409D0" w:rsidP="003409D0">
            <w:pPr>
              <w:spacing w:line="267" w:lineRule="exact"/>
              <w:jc w:val="right"/>
              <w:rPr>
                <w:sz w:val="24"/>
                <w:szCs w:val="24"/>
                <w:lang/>
              </w:rPr>
            </w:pPr>
            <w:r>
              <w:rPr>
                <w:sz w:val="24"/>
                <w:szCs w:val="24"/>
                <w:lang/>
              </w:rPr>
              <w:t>7.490</w:t>
            </w:r>
          </w:p>
        </w:tc>
        <w:tc>
          <w:tcPr>
            <w:tcW w:w="30" w:type="dxa"/>
            <w:vAlign w:val="bottom"/>
          </w:tcPr>
          <w:p w:rsidR="003409D0" w:rsidRDefault="003409D0" w:rsidP="003409D0">
            <w:pPr>
              <w:rPr>
                <w:sz w:val="1"/>
                <w:szCs w:val="1"/>
              </w:rPr>
            </w:pPr>
          </w:p>
        </w:tc>
      </w:tr>
      <w:tr w:rsidR="003409D0" w:rsidTr="003409D0">
        <w:trPr>
          <w:trHeight w:val="266"/>
        </w:trPr>
        <w:tc>
          <w:tcPr>
            <w:tcW w:w="800" w:type="dxa"/>
            <w:tcBorders>
              <w:left w:val="single" w:sz="8" w:space="0" w:color="auto"/>
              <w:bottom w:val="single" w:sz="8" w:space="0" w:color="auto"/>
              <w:right w:val="single" w:sz="8" w:space="0" w:color="auto"/>
            </w:tcBorders>
            <w:vAlign w:val="bottom"/>
          </w:tcPr>
          <w:p w:rsidR="003409D0" w:rsidRDefault="003409D0" w:rsidP="003409D0">
            <w:pPr>
              <w:spacing w:line="265" w:lineRule="exact"/>
              <w:jc w:val="center"/>
              <w:rPr>
                <w:sz w:val="20"/>
                <w:szCs w:val="20"/>
              </w:rPr>
            </w:pPr>
            <w:r>
              <w:rPr>
                <w:rFonts w:eastAsia="Times New Roman"/>
                <w:w w:val="99"/>
                <w:sz w:val="24"/>
                <w:szCs w:val="24"/>
              </w:rPr>
              <w:t>716</w:t>
            </w:r>
          </w:p>
        </w:tc>
        <w:tc>
          <w:tcPr>
            <w:tcW w:w="2740" w:type="dxa"/>
            <w:tcBorders>
              <w:bottom w:val="single" w:sz="8" w:space="0" w:color="auto"/>
              <w:right w:val="single" w:sz="8" w:space="0" w:color="auto"/>
            </w:tcBorders>
            <w:vAlign w:val="bottom"/>
          </w:tcPr>
          <w:p w:rsidR="003409D0" w:rsidRDefault="003409D0" w:rsidP="003409D0">
            <w:pPr>
              <w:spacing w:line="265" w:lineRule="exact"/>
              <w:ind w:left="100"/>
              <w:rPr>
                <w:sz w:val="20"/>
                <w:szCs w:val="20"/>
              </w:rPr>
            </w:pPr>
            <w:r>
              <w:rPr>
                <w:rFonts w:eastAsia="Times New Roman"/>
                <w:sz w:val="24"/>
                <w:szCs w:val="24"/>
              </w:rPr>
              <w:t>Други порези</w:t>
            </w:r>
          </w:p>
        </w:tc>
        <w:tc>
          <w:tcPr>
            <w:tcW w:w="1460" w:type="dxa"/>
            <w:tcBorders>
              <w:bottom w:val="single" w:sz="8" w:space="0" w:color="auto"/>
              <w:right w:val="single" w:sz="8" w:space="0" w:color="auto"/>
            </w:tcBorders>
            <w:vAlign w:val="bottom"/>
          </w:tcPr>
          <w:p w:rsidR="003409D0" w:rsidRPr="00717C12" w:rsidRDefault="003409D0" w:rsidP="003409D0">
            <w:pPr>
              <w:spacing w:line="265" w:lineRule="exact"/>
              <w:jc w:val="right"/>
              <w:rPr>
                <w:sz w:val="24"/>
                <w:szCs w:val="24"/>
                <w:lang/>
              </w:rPr>
            </w:pPr>
            <w:r>
              <w:rPr>
                <w:sz w:val="24"/>
                <w:szCs w:val="24"/>
                <w:lang/>
              </w:rPr>
              <w:t>2.000</w:t>
            </w:r>
          </w:p>
        </w:tc>
        <w:tc>
          <w:tcPr>
            <w:tcW w:w="1400" w:type="dxa"/>
            <w:tcBorders>
              <w:bottom w:val="single" w:sz="8" w:space="0" w:color="auto"/>
              <w:right w:val="single" w:sz="8" w:space="0" w:color="auto"/>
            </w:tcBorders>
            <w:vAlign w:val="bottom"/>
          </w:tcPr>
          <w:p w:rsidR="003409D0" w:rsidRPr="00717C12" w:rsidRDefault="003409D0" w:rsidP="003409D0">
            <w:pPr>
              <w:spacing w:line="265" w:lineRule="exact"/>
              <w:jc w:val="right"/>
              <w:rPr>
                <w:sz w:val="24"/>
                <w:szCs w:val="24"/>
                <w:lang/>
              </w:rPr>
            </w:pPr>
            <w:r>
              <w:rPr>
                <w:sz w:val="24"/>
                <w:szCs w:val="24"/>
                <w:lang/>
              </w:rPr>
              <w:t>2.000</w:t>
            </w:r>
          </w:p>
        </w:tc>
        <w:tc>
          <w:tcPr>
            <w:tcW w:w="1420" w:type="dxa"/>
            <w:tcBorders>
              <w:bottom w:val="single" w:sz="8" w:space="0" w:color="auto"/>
              <w:right w:val="single" w:sz="8" w:space="0" w:color="auto"/>
            </w:tcBorders>
            <w:vAlign w:val="bottom"/>
          </w:tcPr>
          <w:p w:rsidR="003409D0" w:rsidRPr="00717C12" w:rsidRDefault="003409D0" w:rsidP="003409D0">
            <w:pPr>
              <w:spacing w:line="265" w:lineRule="exact"/>
              <w:jc w:val="right"/>
              <w:rPr>
                <w:sz w:val="24"/>
                <w:szCs w:val="24"/>
                <w:lang/>
              </w:rPr>
            </w:pPr>
            <w:r>
              <w:rPr>
                <w:sz w:val="24"/>
                <w:szCs w:val="24"/>
                <w:lang/>
              </w:rPr>
              <w:t>2.000</w:t>
            </w:r>
          </w:p>
        </w:tc>
        <w:tc>
          <w:tcPr>
            <w:tcW w:w="1260" w:type="dxa"/>
            <w:tcBorders>
              <w:bottom w:val="single" w:sz="8" w:space="0" w:color="auto"/>
              <w:right w:val="single" w:sz="8" w:space="0" w:color="auto"/>
            </w:tcBorders>
            <w:vAlign w:val="bottom"/>
          </w:tcPr>
          <w:p w:rsidR="003409D0" w:rsidRPr="00717C12" w:rsidRDefault="003409D0" w:rsidP="003409D0">
            <w:pPr>
              <w:spacing w:line="265" w:lineRule="exact"/>
              <w:jc w:val="right"/>
              <w:rPr>
                <w:sz w:val="24"/>
                <w:szCs w:val="24"/>
                <w:lang/>
              </w:rPr>
            </w:pPr>
            <w:r>
              <w:rPr>
                <w:sz w:val="24"/>
                <w:szCs w:val="24"/>
                <w:lang/>
              </w:rPr>
              <w:t>2.000</w:t>
            </w:r>
          </w:p>
        </w:tc>
        <w:tc>
          <w:tcPr>
            <w:tcW w:w="30" w:type="dxa"/>
            <w:vAlign w:val="bottom"/>
          </w:tcPr>
          <w:p w:rsidR="003409D0" w:rsidRDefault="003409D0" w:rsidP="003409D0">
            <w:pPr>
              <w:rPr>
                <w:sz w:val="1"/>
                <w:szCs w:val="1"/>
              </w:rPr>
            </w:pPr>
          </w:p>
        </w:tc>
      </w:tr>
      <w:tr w:rsidR="003409D0" w:rsidTr="003409D0">
        <w:trPr>
          <w:trHeight w:val="266"/>
        </w:trPr>
        <w:tc>
          <w:tcPr>
            <w:tcW w:w="800" w:type="dxa"/>
            <w:tcBorders>
              <w:left w:val="single" w:sz="8" w:space="0" w:color="auto"/>
              <w:bottom w:val="single" w:sz="8" w:space="0" w:color="auto"/>
              <w:right w:val="single" w:sz="8" w:space="0" w:color="auto"/>
            </w:tcBorders>
            <w:vAlign w:val="bottom"/>
          </w:tcPr>
          <w:p w:rsidR="003409D0" w:rsidRDefault="003409D0" w:rsidP="003409D0">
            <w:pPr>
              <w:spacing w:line="265" w:lineRule="exact"/>
              <w:jc w:val="center"/>
              <w:rPr>
                <w:sz w:val="20"/>
                <w:szCs w:val="20"/>
              </w:rPr>
            </w:pPr>
            <w:r>
              <w:rPr>
                <w:rFonts w:eastAsia="Times New Roman"/>
                <w:w w:val="99"/>
                <w:sz w:val="24"/>
                <w:szCs w:val="24"/>
              </w:rPr>
              <w:t>730</w:t>
            </w:r>
          </w:p>
        </w:tc>
        <w:tc>
          <w:tcPr>
            <w:tcW w:w="2740" w:type="dxa"/>
            <w:tcBorders>
              <w:bottom w:val="single" w:sz="8" w:space="0" w:color="auto"/>
              <w:right w:val="single" w:sz="8" w:space="0" w:color="auto"/>
            </w:tcBorders>
            <w:vAlign w:val="bottom"/>
          </w:tcPr>
          <w:p w:rsidR="003409D0" w:rsidRDefault="003409D0" w:rsidP="003409D0">
            <w:pPr>
              <w:spacing w:line="265" w:lineRule="exact"/>
              <w:ind w:left="100"/>
              <w:rPr>
                <w:sz w:val="20"/>
                <w:szCs w:val="20"/>
              </w:rPr>
            </w:pPr>
            <w:r>
              <w:rPr>
                <w:rFonts w:eastAsia="Times New Roman"/>
                <w:sz w:val="24"/>
                <w:szCs w:val="24"/>
              </w:rPr>
              <w:t>Донације и трансфери</w:t>
            </w:r>
          </w:p>
        </w:tc>
        <w:tc>
          <w:tcPr>
            <w:tcW w:w="1460" w:type="dxa"/>
            <w:tcBorders>
              <w:bottom w:val="single" w:sz="8" w:space="0" w:color="auto"/>
              <w:right w:val="single" w:sz="8" w:space="0" w:color="auto"/>
            </w:tcBorders>
            <w:vAlign w:val="bottom"/>
          </w:tcPr>
          <w:p w:rsidR="003409D0" w:rsidRPr="00717C12" w:rsidRDefault="003409D0" w:rsidP="003409D0">
            <w:pPr>
              <w:spacing w:line="265" w:lineRule="exact"/>
              <w:jc w:val="right"/>
              <w:rPr>
                <w:sz w:val="24"/>
                <w:szCs w:val="24"/>
                <w:lang/>
              </w:rPr>
            </w:pPr>
            <w:r>
              <w:rPr>
                <w:sz w:val="24"/>
                <w:szCs w:val="24"/>
                <w:lang/>
              </w:rPr>
              <w:t>208.437</w:t>
            </w:r>
          </w:p>
        </w:tc>
        <w:tc>
          <w:tcPr>
            <w:tcW w:w="1400" w:type="dxa"/>
            <w:tcBorders>
              <w:bottom w:val="single" w:sz="8" w:space="0" w:color="auto"/>
              <w:right w:val="single" w:sz="8" w:space="0" w:color="auto"/>
            </w:tcBorders>
            <w:vAlign w:val="bottom"/>
          </w:tcPr>
          <w:p w:rsidR="003409D0" w:rsidRPr="00717C12" w:rsidRDefault="003409D0" w:rsidP="003409D0">
            <w:pPr>
              <w:spacing w:line="265" w:lineRule="exact"/>
              <w:jc w:val="right"/>
              <w:rPr>
                <w:sz w:val="24"/>
                <w:szCs w:val="24"/>
                <w:lang/>
              </w:rPr>
            </w:pPr>
            <w:r>
              <w:rPr>
                <w:sz w:val="24"/>
                <w:szCs w:val="24"/>
                <w:lang/>
              </w:rPr>
              <w:t>208.437</w:t>
            </w:r>
          </w:p>
        </w:tc>
        <w:tc>
          <w:tcPr>
            <w:tcW w:w="1420" w:type="dxa"/>
            <w:tcBorders>
              <w:bottom w:val="single" w:sz="8" w:space="0" w:color="auto"/>
              <w:right w:val="single" w:sz="8" w:space="0" w:color="auto"/>
            </w:tcBorders>
            <w:vAlign w:val="bottom"/>
          </w:tcPr>
          <w:p w:rsidR="003409D0" w:rsidRPr="00717C12" w:rsidRDefault="003409D0" w:rsidP="003409D0">
            <w:pPr>
              <w:spacing w:line="265" w:lineRule="exact"/>
              <w:jc w:val="right"/>
              <w:rPr>
                <w:sz w:val="24"/>
                <w:szCs w:val="24"/>
                <w:lang/>
              </w:rPr>
            </w:pPr>
            <w:r>
              <w:rPr>
                <w:sz w:val="24"/>
                <w:szCs w:val="24"/>
                <w:lang/>
              </w:rPr>
              <w:t>208.437</w:t>
            </w:r>
          </w:p>
        </w:tc>
        <w:tc>
          <w:tcPr>
            <w:tcW w:w="1260" w:type="dxa"/>
            <w:tcBorders>
              <w:bottom w:val="single" w:sz="8" w:space="0" w:color="auto"/>
              <w:right w:val="single" w:sz="8" w:space="0" w:color="auto"/>
            </w:tcBorders>
            <w:vAlign w:val="bottom"/>
          </w:tcPr>
          <w:p w:rsidR="003409D0" w:rsidRPr="00717C12" w:rsidRDefault="003409D0" w:rsidP="003409D0">
            <w:pPr>
              <w:spacing w:line="265" w:lineRule="exact"/>
              <w:jc w:val="right"/>
              <w:rPr>
                <w:sz w:val="24"/>
                <w:szCs w:val="24"/>
                <w:lang/>
              </w:rPr>
            </w:pPr>
            <w:r>
              <w:rPr>
                <w:sz w:val="24"/>
                <w:szCs w:val="24"/>
                <w:lang/>
              </w:rPr>
              <w:t>208.437</w:t>
            </w:r>
          </w:p>
        </w:tc>
        <w:tc>
          <w:tcPr>
            <w:tcW w:w="30" w:type="dxa"/>
            <w:vAlign w:val="bottom"/>
          </w:tcPr>
          <w:p w:rsidR="003409D0" w:rsidRDefault="003409D0" w:rsidP="003409D0">
            <w:pPr>
              <w:rPr>
                <w:sz w:val="1"/>
                <w:szCs w:val="1"/>
              </w:rPr>
            </w:pPr>
          </w:p>
        </w:tc>
      </w:tr>
      <w:tr w:rsidR="003409D0" w:rsidTr="003409D0">
        <w:trPr>
          <w:trHeight w:val="267"/>
        </w:trPr>
        <w:tc>
          <w:tcPr>
            <w:tcW w:w="800" w:type="dxa"/>
            <w:tcBorders>
              <w:left w:val="single" w:sz="8" w:space="0" w:color="auto"/>
              <w:bottom w:val="single" w:sz="8" w:space="0" w:color="auto"/>
              <w:right w:val="single" w:sz="8" w:space="0" w:color="auto"/>
            </w:tcBorders>
            <w:vAlign w:val="bottom"/>
          </w:tcPr>
          <w:p w:rsidR="003409D0" w:rsidRDefault="003409D0" w:rsidP="003409D0">
            <w:pPr>
              <w:spacing w:line="267" w:lineRule="exact"/>
              <w:jc w:val="center"/>
              <w:rPr>
                <w:sz w:val="20"/>
                <w:szCs w:val="20"/>
              </w:rPr>
            </w:pPr>
            <w:r>
              <w:rPr>
                <w:rFonts w:eastAsia="Times New Roman"/>
                <w:w w:val="99"/>
                <w:sz w:val="24"/>
                <w:szCs w:val="24"/>
              </w:rPr>
              <w:t>741</w:t>
            </w:r>
          </w:p>
        </w:tc>
        <w:tc>
          <w:tcPr>
            <w:tcW w:w="2740" w:type="dxa"/>
            <w:tcBorders>
              <w:bottom w:val="single" w:sz="8" w:space="0" w:color="auto"/>
              <w:right w:val="single" w:sz="8" w:space="0" w:color="auto"/>
            </w:tcBorders>
            <w:vAlign w:val="bottom"/>
          </w:tcPr>
          <w:p w:rsidR="003409D0" w:rsidRDefault="003409D0" w:rsidP="003409D0">
            <w:pPr>
              <w:spacing w:line="267" w:lineRule="exact"/>
              <w:ind w:left="100"/>
              <w:rPr>
                <w:sz w:val="20"/>
                <w:szCs w:val="20"/>
              </w:rPr>
            </w:pPr>
            <w:r>
              <w:rPr>
                <w:rFonts w:eastAsia="Times New Roman"/>
                <w:sz w:val="24"/>
                <w:szCs w:val="24"/>
              </w:rPr>
              <w:t>Приходи од имовине</w:t>
            </w:r>
          </w:p>
        </w:tc>
        <w:tc>
          <w:tcPr>
            <w:tcW w:w="1460" w:type="dxa"/>
            <w:tcBorders>
              <w:bottom w:val="single" w:sz="8" w:space="0" w:color="auto"/>
              <w:right w:val="single" w:sz="8" w:space="0" w:color="auto"/>
            </w:tcBorders>
            <w:vAlign w:val="bottom"/>
          </w:tcPr>
          <w:p w:rsidR="003409D0" w:rsidRPr="00717C12" w:rsidRDefault="003409D0" w:rsidP="003409D0">
            <w:pPr>
              <w:spacing w:line="267" w:lineRule="exact"/>
              <w:jc w:val="right"/>
              <w:rPr>
                <w:sz w:val="24"/>
                <w:szCs w:val="24"/>
                <w:lang/>
              </w:rPr>
            </w:pPr>
            <w:r>
              <w:rPr>
                <w:sz w:val="24"/>
                <w:szCs w:val="24"/>
                <w:lang/>
              </w:rPr>
              <w:t>14.607</w:t>
            </w:r>
          </w:p>
        </w:tc>
        <w:tc>
          <w:tcPr>
            <w:tcW w:w="1400" w:type="dxa"/>
            <w:tcBorders>
              <w:bottom w:val="single" w:sz="8" w:space="0" w:color="auto"/>
              <w:right w:val="single" w:sz="8" w:space="0" w:color="auto"/>
            </w:tcBorders>
            <w:vAlign w:val="bottom"/>
          </w:tcPr>
          <w:p w:rsidR="003409D0" w:rsidRPr="00717C12" w:rsidRDefault="003409D0" w:rsidP="003409D0">
            <w:pPr>
              <w:spacing w:line="267" w:lineRule="exact"/>
              <w:jc w:val="right"/>
              <w:rPr>
                <w:sz w:val="24"/>
                <w:szCs w:val="24"/>
                <w:lang/>
              </w:rPr>
            </w:pPr>
            <w:r>
              <w:rPr>
                <w:sz w:val="24"/>
                <w:szCs w:val="24"/>
                <w:lang/>
              </w:rPr>
              <w:t>14.607</w:t>
            </w:r>
          </w:p>
        </w:tc>
        <w:tc>
          <w:tcPr>
            <w:tcW w:w="1420" w:type="dxa"/>
            <w:tcBorders>
              <w:bottom w:val="single" w:sz="8" w:space="0" w:color="auto"/>
              <w:right w:val="single" w:sz="8" w:space="0" w:color="auto"/>
            </w:tcBorders>
            <w:vAlign w:val="bottom"/>
          </w:tcPr>
          <w:p w:rsidR="003409D0" w:rsidRPr="00717C12" w:rsidRDefault="003409D0" w:rsidP="003409D0">
            <w:pPr>
              <w:spacing w:line="267" w:lineRule="exact"/>
              <w:jc w:val="right"/>
              <w:rPr>
                <w:sz w:val="24"/>
                <w:szCs w:val="24"/>
                <w:lang/>
              </w:rPr>
            </w:pPr>
            <w:r>
              <w:rPr>
                <w:sz w:val="24"/>
                <w:szCs w:val="24"/>
                <w:lang/>
              </w:rPr>
              <w:t>14.607</w:t>
            </w:r>
          </w:p>
        </w:tc>
        <w:tc>
          <w:tcPr>
            <w:tcW w:w="1260" w:type="dxa"/>
            <w:tcBorders>
              <w:bottom w:val="single" w:sz="8" w:space="0" w:color="auto"/>
              <w:right w:val="single" w:sz="8" w:space="0" w:color="auto"/>
            </w:tcBorders>
            <w:vAlign w:val="bottom"/>
          </w:tcPr>
          <w:p w:rsidR="003409D0" w:rsidRPr="00717C12" w:rsidRDefault="003409D0" w:rsidP="003409D0">
            <w:pPr>
              <w:spacing w:line="267" w:lineRule="exact"/>
              <w:jc w:val="right"/>
              <w:rPr>
                <w:sz w:val="24"/>
                <w:szCs w:val="24"/>
                <w:lang/>
              </w:rPr>
            </w:pPr>
            <w:r>
              <w:rPr>
                <w:sz w:val="24"/>
                <w:szCs w:val="24"/>
                <w:lang/>
              </w:rPr>
              <w:t>14.607</w:t>
            </w:r>
          </w:p>
        </w:tc>
        <w:tc>
          <w:tcPr>
            <w:tcW w:w="30" w:type="dxa"/>
            <w:vAlign w:val="bottom"/>
          </w:tcPr>
          <w:p w:rsidR="003409D0" w:rsidRDefault="003409D0" w:rsidP="003409D0">
            <w:pPr>
              <w:rPr>
                <w:sz w:val="1"/>
                <w:szCs w:val="1"/>
              </w:rPr>
            </w:pPr>
          </w:p>
        </w:tc>
      </w:tr>
      <w:tr w:rsidR="003409D0" w:rsidTr="003409D0">
        <w:trPr>
          <w:trHeight w:val="247"/>
        </w:trPr>
        <w:tc>
          <w:tcPr>
            <w:tcW w:w="800" w:type="dxa"/>
            <w:vMerge w:val="restart"/>
            <w:tcBorders>
              <w:left w:val="single" w:sz="8" w:space="0" w:color="auto"/>
              <w:right w:val="single" w:sz="8" w:space="0" w:color="auto"/>
            </w:tcBorders>
            <w:vAlign w:val="bottom"/>
          </w:tcPr>
          <w:p w:rsidR="003409D0" w:rsidRDefault="003409D0" w:rsidP="003409D0">
            <w:pPr>
              <w:jc w:val="center"/>
              <w:rPr>
                <w:sz w:val="20"/>
                <w:szCs w:val="20"/>
              </w:rPr>
            </w:pPr>
            <w:r>
              <w:rPr>
                <w:rFonts w:eastAsia="Times New Roman"/>
                <w:w w:val="99"/>
                <w:sz w:val="24"/>
                <w:szCs w:val="24"/>
              </w:rPr>
              <w:t>742</w:t>
            </w:r>
          </w:p>
        </w:tc>
        <w:tc>
          <w:tcPr>
            <w:tcW w:w="2740" w:type="dxa"/>
            <w:tcBorders>
              <w:right w:val="single" w:sz="8" w:space="0" w:color="auto"/>
            </w:tcBorders>
            <w:vAlign w:val="bottom"/>
          </w:tcPr>
          <w:p w:rsidR="003409D0" w:rsidRDefault="003409D0" w:rsidP="003409D0">
            <w:pPr>
              <w:spacing w:line="247" w:lineRule="exact"/>
              <w:ind w:left="100"/>
              <w:rPr>
                <w:sz w:val="20"/>
                <w:szCs w:val="20"/>
              </w:rPr>
            </w:pPr>
            <w:r>
              <w:rPr>
                <w:rFonts w:eastAsia="Times New Roman"/>
                <w:sz w:val="24"/>
                <w:szCs w:val="24"/>
              </w:rPr>
              <w:t>Приходи од продаје</w:t>
            </w:r>
          </w:p>
        </w:tc>
        <w:tc>
          <w:tcPr>
            <w:tcW w:w="1460" w:type="dxa"/>
            <w:tcBorders>
              <w:right w:val="single" w:sz="8" w:space="0" w:color="auto"/>
            </w:tcBorders>
            <w:vAlign w:val="bottom"/>
          </w:tcPr>
          <w:p w:rsidR="003409D0" w:rsidRPr="00717C12" w:rsidRDefault="003409D0" w:rsidP="003409D0">
            <w:pPr>
              <w:jc w:val="right"/>
              <w:rPr>
                <w:sz w:val="24"/>
                <w:szCs w:val="24"/>
                <w:lang/>
              </w:rPr>
            </w:pPr>
            <w:r>
              <w:rPr>
                <w:sz w:val="24"/>
                <w:szCs w:val="24"/>
                <w:lang/>
              </w:rPr>
              <w:t>8.834</w:t>
            </w:r>
          </w:p>
        </w:tc>
        <w:tc>
          <w:tcPr>
            <w:tcW w:w="1400" w:type="dxa"/>
            <w:tcBorders>
              <w:right w:val="single" w:sz="8" w:space="0" w:color="auto"/>
            </w:tcBorders>
            <w:vAlign w:val="bottom"/>
          </w:tcPr>
          <w:p w:rsidR="003409D0" w:rsidRPr="00717C12" w:rsidRDefault="003409D0" w:rsidP="003409D0">
            <w:pPr>
              <w:jc w:val="right"/>
              <w:rPr>
                <w:sz w:val="24"/>
                <w:szCs w:val="24"/>
                <w:lang/>
              </w:rPr>
            </w:pPr>
            <w:r>
              <w:rPr>
                <w:sz w:val="24"/>
                <w:szCs w:val="24"/>
                <w:lang/>
              </w:rPr>
              <w:t>8.834</w:t>
            </w:r>
          </w:p>
        </w:tc>
        <w:tc>
          <w:tcPr>
            <w:tcW w:w="1420" w:type="dxa"/>
            <w:tcBorders>
              <w:right w:val="single" w:sz="8" w:space="0" w:color="auto"/>
            </w:tcBorders>
            <w:vAlign w:val="bottom"/>
          </w:tcPr>
          <w:p w:rsidR="003409D0" w:rsidRPr="00717C12" w:rsidRDefault="003409D0" w:rsidP="003409D0">
            <w:pPr>
              <w:jc w:val="right"/>
              <w:rPr>
                <w:sz w:val="24"/>
                <w:szCs w:val="24"/>
                <w:lang/>
              </w:rPr>
            </w:pPr>
            <w:r>
              <w:rPr>
                <w:sz w:val="24"/>
                <w:szCs w:val="24"/>
                <w:lang/>
              </w:rPr>
              <w:t>8.834</w:t>
            </w:r>
          </w:p>
        </w:tc>
        <w:tc>
          <w:tcPr>
            <w:tcW w:w="1260" w:type="dxa"/>
            <w:tcBorders>
              <w:right w:val="single" w:sz="8" w:space="0" w:color="auto"/>
            </w:tcBorders>
            <w:vAlign w:val="bottom"/>
          </w:tcPr>
          <w:p w:rsidR="003409D0" w:rsidRPr="00717C12" w:rsidRDefault="003409D0" w:rsidP="003409D0">
            <w:pPr>
              <w:jc w:val="right"/>
              <w:rPr>
                <w:sz w:val="24"/>
                <w:szCs w:val="24"/>
                <w:lang/>
              </w:rPr>
            </w:pPr>
            <w:r>
              <w:rPr>
                <w:sz w:val="24"/>
                <w:szCs w:val="24"/>
                <w:lang/>
              </w:rPr>
              <w:t>8.834</w:t>
            </w:r>
          </w:p>
        </w:tc>
        <w:tc>
          <w:tcPr>
            <w:tcW w:w="30" w:type="dxa"/>
            <w:vAlign w:val="bottom"/>
          </w:tcPr>
          <w:p w:rsidR="003409D0" w:rsidRDefault="003409D0" w:rsidP="003409D0">
            <w:pPr>
              <w:rPr>
                <w:sz w:val="1"/>
                <w:szCs w:val="1"/>
              </w:rPr>
            </w:pPr>
          </w:p>
        </w:tc>
      </w:tr>
      <w:tr w:rsidR="003409D0" w:rsidTr="0030416D">
        <w:trPr>
          <w:trHeight w:val="174"/>
        </w:trPr>
        <w:tc>
          <w:tcPr>
            <w:tcW w:w="800" w:type="dxa"/>
            <w:vMerge/>
            <w:tcBorders>
              <w:left w:val="single" w:sz="8" w:space="0" w:color="auto"/>
              <w:right w:val="single" w:sz="8" w:space="0" w:color="auto"/>
            </w:tcBorders>
            <w:vAlign w:val="bottom"/>
          </w:tcPr>
          <w:p w:rsidR="003409D0" w:rsidRDefault="003409D0" w:rsidP="003409D0">
            <w:pPr>
              <w:rPr>
                <w:sz w:val="15"/>
                <w:szCs w:val="15"/>
              </w:rPr>
            </w:pPr>
          </w:p>
        </w:tc>
        <w:tc>
          <w:tcPr>
            <w:tcW w:w="2740" w:type="dxa"/>
            <w:vMerge w:val="restart"/>
            <w:tcBorders>
              <w:right w:val="single" w:sz="8" w:space="0" w:color="auto"/>
            </w:tcBorders>
            <w:vAlign w:val="bottom"/>
          </w:tcPr>
          <w:p w:rsidR="003409D0" w:rsidRDefault="003409D0" w:rsidP="003409D0">
            <w:pPr>
              <w:ind w:left="100"/>
              <w:rPr>
                <w:sz w:val="20"/>
                <w:szCs w:val="20"/>
              </w:rPr>
            </w:pPr>
            <w:r>
              <w:rPr>
                <w:rFonts w:eastAsia="Times New Roman"/>
                <w:sz w:val="24"/>
                <w:szCs w:val="24"/>
              </w:rPr>
              <w:t>добара и услуга</w:t>
            </w:r>
          </w:p>
        </w:tc>
        <w:tc>
          <w:tcPr>
            <w:tcW w:w="1460" w:type="dxa"/>
            <w:vMerge w:val="restart"/>
            <w:tcBorders>
              <w:right w:val="single" w:sz="8" w:space="0" w:color="auto"/>
            </w:tcBorders>
            <w:vAlign w:val="bottom"/>
          </w:tcPr>
          <w:p w:rsidR="003409D0" w:rsidRPr="00A7441D" w:rsidRDefault="003409D0" w:rsidP="003409D0">
            <w:pPr>
              <w:jc w:val="right"/>
              <w:rPr>
                <w:sz w:val="24"/>
                <w:szCs w:val="24"/>
              </w:rPr>
            </w:pPr>
          </w:p>
        </w:tc>
        <w:tc>
          <w:tcPr>
            <w:tcW w:w="1400" w:type="dxa"/>
            <w:vMerge w:val="restart"/>
            <w:tcBorders>
              <w:right w:val="single" w:sz="8" w:space="0" w:color="auto"/>
            </w:tcBorders>
            <w:vAlign w:val="bottom"/>
          </w:tcPr>
          <w:p w:rsidR="003409D0" w:rsidRPr="00A7441D" w:rsidRDefault="003409D0" w:rsidP="003409D0">
            <w:pPr>
              <w:jc w:val="right"/>
              <w:rPr>
                <w:sz w:val="24"/>
                <w:szCs w:val="24"/>
              </w:rPr>
            </w:pPr>
          </w:p>
        </w:tc>
        <w:tc>
          <w:tcPr>
            <w:tcW w:w="1420" w:type="dxa"/>
            <w:vMerge w:val="restart"/>
            <w:tcBorders>
              <w:right w:val="single" w:sz="8" w:space="0" w:color="auto"/>
            </w:tcBorders>
            <w:vAlign w:val="bottom"/>
          </w:tcPr>
          <w:p w:rsidR="003409D0" w:rsidRPr="00A7441D" w:rsidRDefault="003409D0" w:rsidP="003409D0">
            <w:pPr>
              <w:jc w:val="right"/>
              <w:rPr>
                <w:sz w:val="24"/>
                <w:szCs w:val="24"/>
              </w:rPr>
            </w:pPr>
          </w:p>
        </w:tc>
        <w:tc>
          <w:tcPr>
            <w:tcW w:w="1260" w:type="dxa"/>
            <w:vMerge w:val="restart"/>
            <w:tcBorders>
              <w:right w:val="single" w:sz="8" w:space="0" w:color="auto"/>
            </w:tcBorders>
            <w:vAlign w:val="bottom"/>
          </w:tcPr>
          <w:p w:rsidR="003409D0" w:rsidRPr="00A7441D" w:rsidRDefault="003409D0" w:rsidP="003409D0">
            <w:pPr>
              <w:jc w:val="right"/>
              <w:rPr>
                <w:sz w:val="24"/>
                <w:szCs w:val="24"/>
              </w:rPr>
            </w:pPr>
          </w:p>
        </w:tc>
        <w:tc>
          <w:tcPr>
            <w:tcW w:w="30" w:type="dxa"/>
            <w:vAlign w:val="bottom"/>
          </w:tcPr>
          <w:p w:rsidR="003409D0" w:rsidRDefault="003409D0" w:rsidP="003409D0">
            <w:pPr>
              <w:rPr>
                <w:sz w:val="1"/>
                <w:szCs w:val="1"/>
              </w:rPr>
            </w:pPr>
          </w:p>
        </w:tc>
      </w:tr>
      <w:tr w:rsidR="003409D0" w:rsidTr="0030416D">
        <w:trPr>
          <w:trHeight w:val="121"/>
        </w:trPr>
        <w:tc>
          <w:tcPr>
            <w:tcW w:w="800" w:type="dxa"/>
            <w:tcBorders>
              <w:left w:val="single" w:sz="8" w:space="0" w:color="auto"/>
              <w:bottom w:val="single" w:sz="8" w:space="0" w:color="auto"/>
              <w:right w:val="single" w:sz="8" w:space="0" w:color="auto"/>
            </w:tcBorders>
            <w:vAlign w:val="bottom"/>
          </w:tcPr>
          <w:p w:rsidR="003409D0" w:rsidRDefault="003409D0" w:rsidP="003409D0">
            <w:pPr>
              <w:rPr>
                <w:sz w:val="10"/>
                <w:szCs w:val="10"/>
              </w:rPr>
            </w:pPr>
          </w:p>
        </w:tc>
        <w:tc>
          <w:tcPr>
            <w:tcW w:w="2740" w:type="dxa"/>
            <w:vMerge/>
            <w:tcBorders>
              <w:bottom w:val="single" w:sz="8" w:space="0" w:color="auto"/>
              <w:right w:val="single" w:sz="8" w:space="0" w:color="auto"/>
            </w:tcBorders>
            <w:vAlign w:val="bottom"/>
          </w:tcPr>
          <w:p w:rsidR="003409D0" w:rsidRDefault="003409D0" w:rsidP="003409D0">
            <w:pPr>
              <w:rPr>
                <w:sz w:val="10"/>
                <w:szCs w:val="10"/>
              </w:rPr>
            </w:pPr>
          </w:p>
        </w:tc>
        <w:tc>
          <w:tcPr>
            <w:tcW w:w="1460" w:type="dxa"/>
            <w:vMerge/>
            <w:tcBorders>
              <w:bottom w:val="single" w:sz="8" w:space="0" w:color="auto"/>
              <w:right w:val="single" w:sz="8" w:space="0" w:color="auto"/>
            </w:tcBorders>
            <w:vAlign w:val="bottom"/>
          </w:tcPr>
          <w:p w:rsidR="003409D0" w:rsidRPr="00A7441D" w:rsidRDefault="003409D0" w:rsidP="003409D0">
            <w:pPr>
              <w:jc w:val="right"/>
              <w:rPr>
                <w:sz w:val="24"/>
                <w:szCs w:val="24"/>
              </w:rPr>
            </w:pPr>
          </w:p>
        </w:tc>
        <w:tc>
          <w:tcPr>
            <w:tcW w:w="1400" w:type="dxa"/>
            <w:vMerge/>
            <w:tcBorders>
              <w:bottom w:val="single" w:sz="8" w:space="0" w:color="auto"/>
              <w:right w:val="single" w:sz="8" w:space="0" w:color="auto"/>
            </w:tcBorders>
            <w:vAlign w:val="bottom"/>
          </w:tcPr>
          <w:p w:rsidR="003409D0" w:rsidRPr="00EE32E3" w:rsidRDefault="003409D0" w:rsidP="003409D0">
            <w:pPr>
              <w:jc w:val="right"/>
              <w:rPr>
                <w:sz w:val="24"/>
                <w:szCs w:val="24"/>
              </w:rPr>
            </w:pPr>
          </w:p>
        </w:tc>
        <w:tc>
          <w:tcPr>
            <w:tcW w:w="1420" w:type="dxa"/>
            <w:vMerge/>
            <w:tcBorders>
              <w:bottom w:val="single" w:sz="8" w:space="0" w:color="auto"/>
              <w:right w:val="single" w:sz="8" w:space="0" w:color="auto"/>
            </w:tcBorders>
            <w:vAlign w:val="bottom"/>
          </w:tcPr>
          <w:p w:rsidR="003409D0" w:rsidRPr="003343D4" w:rsidRDefault="003409D0" w:rsidP="003409D0">
            <w:pPr>
              <w:jc w:val="right"/>
              <w:rPr>
                <w:sz w:val="24"/>
                <w:szCs w:val="24"/>
              </w:rPr>
            </w:pPr>
          </w:p>
        </w:tc>
        <w:tc>
          <w:tcPr>
            <w:tcW w:w="1260" w:type="dxa"/>
            <w:vMerge/>
            <w:tcBorders>
              <w:bottom w:val="single" w:sz="8" w:space="0" w:color="auto"/>
              <w:right w:val="single" w:sz="8" w:space="0" w:color="auto"/>
            </w:tcBorders>
            <w:vAlign w:val="bottom"/>
          </w:tcPr>
          <w:p w:rsidR="003409D0" w:rsidRPr="00AB1ADC" w:rsidRDefault="003409D0" w:rsidP="003409D0">
            <w:pPr>
              <w:jc w:val="right"/>
              <w:rPr>
                <w:sz w:val="24"/>
                <w:szCs w:val="24"/>
              </w:rPr>
            </w:pPr>
          </w:p>
        </w:tc>
        <w:tc>
          <w:tcPr>
            <w:tcW w:w="30" w:type="dxa"/>
            <w:vAlign w:val="bottom"/>
          </w:tcPr>
          <w:p w:rsidR="003409D0" w:rsidRDefault="003409D0" w:rsidP="003409D0">
            <w:pPr>
              <w:rPr>
                <w:sz w:val="1"/>
                <w:szCs w:val="1"/>
              </w:rPr>
            </w:pPr>
          </w:p>
        </w:tc>
      </w:tr>
      <w:tr w:rsidR="003409D0" w:rsidTr="0030416D">
        <w:trPr>
          <w:trHeight w:val="247"/>
        </w:trPr>
        <w:tc>
          <w:tcPr>
            <w:tcW w:w="800" w:type="dxa"/>
            <w:vMerge w:val="restart"/>
            <w:tcBorders>
              <w:left w:val="single" w:sz="8" w:space="0" w:color="auto"/>
              <w:right w:val="single" w:sz="8" w:space="0" w:color="auto"/>
            </w:tcBorders>
            <w:vAlign w:val="bottom"/>
          </w:tcPr>
          <w:p w:rsidR="003409D0" w:rsidRDefault="003409D0" w:rsidP="003409D0">
            <w:pPr>
              <w:jc w:val="center"/>
              <w:rPr>
                <w:sz w:val="20"/>
                <w:szCs w:val="20"/>
              </w:rPr>
            </w:pPr>
            <w:r>
              <w:rPr>
                <w:rFonts w:eastAsia="Times New Roman"/>
                <w:w w:val="99"/>
                <w:sz w:val="24"/>
                <w:szCs w:val="24"/>
              </w:rPr>
              <w:t>743</w:t>
            </w:r>
          </w:p>
        </w:tc>
        <w:tc>
          <w:tcPr>
            <w:tcW w:w="2740" w:type="dxa"/>
            <w:tcBorders>
              <w:right w:val="single" w:sz="8" w:space="0" w:color="auto"/>
            </w:tcBorders>
            <w:vAlign w:val="bottom"/>
          </w:tcPr>
          <w:p w:rsidR="003409D0" w:rsidRDefault="003409D0" w:rsidP="003409D0">
            <w:pPr>
              <w:spacing w:line="247" w:lineRule="exact"/>
              <w:ind w:left="100"/>
              <w:rPr>
                <w:sz w:val="20"/>
                <w:szCs w:val="20"/>
              </w:rPr>
            </w:pPr>
            <w:r>
              <w:rPr>
                <w:rFonts w:eastAsia="Times New Roman"/>
                <w:sz w:val="24"/>
                <w:szCs w:val="24"/>
              </w:rPr>
              <w:t>Новчане казне и одузета</w:t>
            </w:r>
          </w:p>
        </w:tc>
        <w:tc>
          <w:tcPr>
            <w:tcW w:w="1460" w:type="dxa"/>
            <w:tcBorders>
              <w:right w:val="single" w:sz="8" w:space="0" w:color="auto"/>
            </w:tcBorders>
            <w:vAlign w:val="bottom"/>
          </w:tcPr>
          <w:p w:rsidR="003409D0" w:rsidRPr="00717C12" w:rsidRDefault="003409D0" w:rsidP="003409D0">
            <w:pPr>
              <w:jc w:val="right"/>
              <w:rPr>
                <w:sz w:val="24"/>
                <w:szCs w:val="24"/>
                <w:lang/>
              </w:rPr>
            </w:pPr>
            <w:r>
              <w:rPr>
                <w:sz w:val="24"/>
                <w:szCs w:val="24"/>
                <w:lang/>
              </w:rPr>
              <w:t>2.040</w:t>
            </w:r>
          </w:p>
        </w:tc>
        <w:tc>
          <w:tcPr>
            <w:tcW w:w="1400" w:type="dxa"/>
            <w:tcBorders>
              <w:right w:val="single" w:sz="8" w:space="0" w:color="auto"/>
            </w:tcBorders>
            <w:vAlign w:val="bottom"/>
          </w:tcPr>
          <w:p w:rsidR="003409D0" w:rsidRPr="00717C12" w:rsidRDefault="003409D0" w:rsidP="003409D0">
            <w:pPr>
              <w:jc w:val="right"/>
              <w:rPr>
                <w:sz w:val="24"/>
                <w:szCs w:val="24"/>
                <w:lang/>
              </w:rPr>
            </w:pPr>
            <w:r>
              <w:rPr>
                <w:sz w:val="24"/>
                <w:szCs w:val="24"/>
                <w:lang/>
              </w:rPr>
              <w:t>2.040</w:t>
            </w:r>
          </w:p>
        </w:tc>
        <w:tc>
          <w:tcPr>
            <w:tcW w:w="1420" w:type="dxa"/>
            <w:tcBorders>
              <w:right w:val="single" w:sz="8" w:space="0" w:color="auto"/>
            </w:tcBorders>
            <w:vAlign w:val="bottom"/>
          </w:tcPr>
          <w:p w:rsidR="003409D0" w:rsidRPr="00717C12" w:rsidRDefault="003409D0" w:rsidP="003409D0">
            <w:pPr>
              <w:jc w:val="right"/>
              <w:rPr>
                <w:sz w:val="24"/>
                <w:szCs w:val="24"/>
                <w:lang/>
              </w:rPr>
            </w:pPr>
            <w:r>
              <w:rPr>
                <w:sz w:val="24"/>
                <w:szCs w:val="24"/>
                <w:lang/>
              </w:rPr>
              <w:t>2.040</w:t>
            </w:r>
          </w:p>
        </w:tc>
        <w:tc>
          <w:tcPr>
            <w:tcW w:w="1260" w:type="dxa"/>
            <w:tcBorders>
              <w:right w:val="single" w:sz="8" w:space="0" w:color="auto"/>
            </w:tcBorders>
            <w:vAlign w:val="bottom"/>
          </w:tcPr>
          <w:p w:rsidR="003409D0" w:rsidRPr="00717C12" w:rsidRDefault="003409D0" w:rsidP="003409D0">
            <w:pPr>
              <w:jc w:val="right"/>
              <w:rPr>
                <w:sz w:val="24"/>
                <w:szCs w:val="24"/>
                <w:lang/>
              </w:rPr>
            </w:pPr>
            <w:r>
              <w:rPr>
                <w:sz w:val="24"/>
                <w:szCs w:val="24"/>
                <w:lang/>
              </w:rPr>
              <w:t>2.040</w:t>
            </w:r>
          </w:p>
        </w:tc>
        <w:tc>
          <w:tcPr>
            <w:tcW w:w="30" w:type="dxa"/>
            <w:vAlign w:val="bottom"/>
          </w:tcPr>
          <w:p w:rsidR="003409D0" w:rsidRDefault="003409D0" w:rsidP="003409D0">
            <w:pPr>
              <w:rPr>
                <w:sz w:val="1"/>
                <w:szCs w:val="1"/>
              </w:rPr>
            </w:pPr>
          </w:p>
        </w:tc>
      </w:tr>
      <w:tr w:rsidR="003409D0" w:rsidTr="0030416D">
        <w:trPr>
          <w:trHeight w:val="174"/>
        </w:trPr>
        <w:tc>
          <w:tcPr>
            <w:tcW w:w="800" w:type="dxa"/>
            <w:vMerge/>
            <w:tcBorders>
              <w:left w:val="single" w:sz="8" w:space="0" w:color="auto"/>
              <w:right w:val="single" w:sz="8" w:space="0" w:color="auto"/>
            </w:tcBorders>
            <w:vAlign w:val="bottom"/>
          </w:tcPr>
          <w:p w:rsidR="003409D0" w:rsidRDefault="003409D0" w:rsidP="003409D0">
            <w:pPr>
              <w:rPr>
                <w:sz w:val="15"/>
                <w:szCs w:val="15"/>
              </w:rPr>
            </w:pPr>
          </w:p>
        </w:tc>
        <w:tc>
          <w:tcPr>
            <w:tcW w:w="2740" w:type="dxa"/>
            <w:vMerge w:val="restart"/>
            <w:tcBorders>
              <w:right w:val="single" w:sz="8" w:space="0" w:color="auto"/>
            </w:tcBorders>
            <w:vAlign w:val="bottom"/>
          </w:tcPr>
          <w:p w:rsidR="003409D0" w:rsidRDefault="003409D0" w:rsidP="003409D0">
            <w:pPr>
              <w:ind w:left="100"/>
              <w:rPr>
                <w:sz w:val="20"/>
                <w:szCs w:val="20"/>
              </w:rPr>
            </w:pPr>
            <w:r>
              <w:rPr>
                <w:rFonts w:eastAsia="Times New Roman"/>
                <w:sz w:val="24"/>
                <w:szCs w:val="24"/>
              </w:rPr>
              <w:t>имовинска корист</w:t>
            </w:r>
          </w:p>
        </w:tc>
        <w:tc>
          <w:tcPr>
            <w:tcW w:w="1460" w:type="dxa"/>
            <w:vMerge w:val="restart"/>
            <w:tcBorders>
              <w:right w:val="single" w:sz="8" w:space="0" w:color="auto"/>
            </w:tcBorders>
            <w:vAlign w:val="bottom"/>
          </w:tcPr>
          <w:p w:rsidR="003409D0" w:rsidRPr="00A7441D" w:rsidRDefault="003409D0" w:rsidP="003409D0">
            <w:pPr>
              <w:jc w:val="right"/>
              <w:rPr>
                <w:sz w:val="24"/>
                <w:szCs w:val="24"/>
              </w:rPr>
            </w:pPr>
          </w:p>
        </w:tc>
        <w:tc>
          <w:tcPr>
            <w:tcW w:w="1400" w:type="dxa"/>
            <w:vMerge w:val="restart"/>
            <w:tcBorders>
              <w:right w:val="single" w:sz="8" w:space="0" w:color="auto"/>
            </w:tcBorders>
            <w:vAlign w:val="bottom"/>
          </w:tcPr>
          <w:p w:rsidR="003409D0" w:rsidRPr="00A7441D" w:rsidRDefault="003409D0" w:rsidP="003409D0">
            <w:pPr>
              <w:jc w:val="right"/>
              <w:rPr>
                <w:sz w:val="24"/>
                <w:szCs w:val="24"/>
              </w:rPr>
            </w:pPr>
          </w:p>
        </w:tc>
        <w:tc>
          <w:tcPr>
            <w:tcW w:w="1420" w:type="dxa"/>
            <w:vMerge w:val="restart"/>
            <w:tcBorders>
              <w:right w:val="single" w:sz="8" w:space="0" w:color="auto"/>
            </w:tcBorders>
            <w:vAlign w:val="bottom"/>
          </w:tcPr>
          <w:p w:rsidR="003409D0" w:rsidRPr="00A7441D" w:rsidRDefault="003409D0" w:rsidP="003409D0">
            <w:pPr>
              <w:jc w:val="right"/>
              <w:rPr>
                <w:sz w:val="24"/>
                <w:szCs w:val="24"/>
              </w:rPr>
            </w:pPr>
          </w:p>
        </w:tc>
        <w:tc>
          <w:tcPr>
            <w:tcW w:w="1260" w:type="dxa"/>
            <w:vMerge w:val="restart"/>
            <w:tcBorders>
              <w:right w:val="single" w:sz="8" w:space="0" w:color="auto"/>
            </w:tcBorders>
            <w:vAlign w:val="bottom"/>
          </w:tcPr>
          <w:p w:rsidR="003409D0" w:rsidRPr="00A7441D" w:rsidRDefault="003409D0" w:rsidP="003409D0">
            <w:pPr>
              <w:jc w:val="right"/>
              <w:rPr>
                <w:sz w:val="24"/>
                <w:szCs w:val="24"/>
              </w:rPr>
            </w:pPr>
          </w:p>
        </w:tc>
        <w:tc>
          <w:tcPr>
            <w:tcW w:w="30" w:type="dxa"/>
            <w:vAlign w:val="bottom"/>
          </w:tcPr>
          <w:p w:rsidR="003409D0" w:rsidRDefault="003409D0" w:rsidP="003409D0">
            <w:pPr>
              <w:rPr>
                <w:sz w:val="1"/>
                <w:szCs w:val="1"/>
              </w:rPr>
            </w:pPr>
          </w:p>
        </w:tc>
      </w:tr>
      <w:tr w:rsidR="003409D0" w:rsidTr="0030416D">
        <w:trPr>
          <w:trHeight w:val="121"/>
        </w:trPr>
        <w:tc>
          <w:tcPr>
            <w:tcW w:w="800" w:type="dxa"/>
            <w:tcBorders>
              <w:left w:val="single" w:sz="8" w:space="0" w:color="auto"/>
              <w:bottom w:val="single" w:sz="8" w:space="0" w:color="auto"/>
              <w:right w:val="single" w:sz="8" w:space="0" w:color="auto"/>
            </w:tcBorders>
            <w:vAlign w:val="bottom"/>
          </w:tcPr>
          <w:p w:rsidR="003409D0" w:rsidRDefault="003409D0" w:rsidP="003409D0">
            <w:pPr>
              <w:rPr>
                <w:sz w:val="10"/>
                <w:szCs w:val="10"/>
              </w:rPr>
            </w:pPr>
          </w:p>
        </w:tc>
        <w:tc>
          <w:tcPr>
            <w:tcW w:w="2740" w:type="dxa"/>
            <w:vMerge/>
            <w:tcBorders>
              <w:bottom w:val="single" w:sz="8" w:space="0" w:color="auto"/>
              <w:right w:val="single" w:sz="8" w:space="0" w:color="auto"/>
            </w:tcBorders>
            <w:vAlign w:val="bottom"/>
          </w:tcPr>
          <w:p w:rsidR="003409D0" w:rsidRDefault="003409D0" w:rsidP="003409D0">
            <w:pPr>
              <w:rPr>
                <w:sz w:val="10"/>
                <w:szCs w:val="10"/>
              </w:rPr>
            </w:pPr>
          </w:p>
        </w:tc>
        <w:tc>
          <w:tcPr>
            <w:tcW w:w="1460" w:type="dxa"/>
            <w:vMerge/>
            <w:tcBorders>
              <w:bottom w:val="single" w:sz="8" w:space="0" w:color="auto"/>
              <w:right w:val="single" w:sz="8" w:space="0" w:color="auto"/>
            </w:tcBorders>
            <w:vAlign w:val="bottom"/>
          </w:tcPr>
          <w:p w:rsidR="003409D0" w:rsidRPr="00A7441D" w:rsidRDefault="003409D0" w:rsidP="003409D0">
            <w:pPr>
              <w:jc w:val="right"/>
              <w:rPr>
                <w:sz w:val="24"/>
                <w:szCs w:val="24"/>
              </w:rPr>
            </w:pPr>
          </w:p>
        </w:tc>
        <w:tc>
          <w:tcPr>
            <w:tcW w:w="1400" w:type="dxa"/>
            <w:vMerge/>
            <w:tcBorders>
              <w:bottom w:val="single" w:sz="8" w:space="0" w:color="auto"/>
              <w:right w:val="single" w:sz="8" w:space="0" w:color="auto"/>
            </w:tcBorders>
            <w:vAlign w:val="bottom"/>
          </w:tcPr>
          <w:p w:rsidR="003409D0" w:rsidRPr="00EE32E3" w:rsidRDefault="003409D0" w:rsidP="003409D0">
            <w:pPr>
              <w:jc w:val="right"/>
              <w:rPr>
                <w:sz w:val="24"/>
                <w:szCs w:val="24"/>
              </w:rPr>
            </w:pPr>
          </w:p>
        </w:tc>
        <w:tc>
          <w:tcPr>
            <w:tcW w:w="1420" w:type="dxa"/>
            <w:vMerge/>
            <w:tcBorders>
              <w:bottom w:val="single" w:sz="8" w:space="0" w:color="auto"/>
              <w:right w:val="single" w:sz="8" w:space="0" w:color="auto"/>
            </w:tcBorders>
            <w:vAlign w:val="bottom"/>
          </w:tcPr>
          <w:p w:rsidR="003409D0" w:rsidRPr="003343D4" w:rsidRDefault="003409D0" w:rsidP="003409D0">
            <w:pPr>
              <w:jc w:val="right"/>
              <w:rPr>
                <w:sz w:val="24"/>
                <w:szCs w:val="24"/>
              </w:rPr>
            </w:pPr>
          </w:p>
        </w:tc>
        <w:tc>
          <w:tcPr>
            <w:tcW w:w="1260" w:type="dxa"/>
            <w:vMerge/>
            <w:tcBorders>
              <w:bottom w:val="single" w:sz="8" w:space="0" w:color="auto"/>
              <w:right w:val="single" w:sz="8" w:space="0" w:color="auto"/>
            </w:tcBorders>
            <w:vAlign w:val="bottom"/>
          </w:tcPr>
          <w:p w:rsidR="003409D0" w:rsidRPr="00AB1ADC" w:rsidRDefault="003409D0" w:rsidP="003409D0">
            <w:pPr>
              <w:jc w:val="right"/>
              <w:rPr>
                <w:sz w:val="24"/>
                <w:szCs w:val="24"/>
              </w:rPr>
            </w:pPr>
          </w:p>
        </w:tc>
        <w:tc>
          <w:tcPr>
            <w:tcW w:w="30" w:type="dxa"/>
            <w:vAlign w:val="bottom"/>
          </w:tcPr>
          <w:p w:rsidR="003409D0" w:rsidRDefault="003409D0" w:rsidP="003409D0">
            <w:pPr>
              <w:rPr>
                <w:sz w:val="1"/>
                <w:szCs w:val="1"/>
              </w:rPr>
            </w:pPr>
          </w:p>
        </w:tc>
      </w:tr>
      <w:tr w:rsidR="003409D0" w:rsidTr="0030416D">
        <w:trPr>
          <w:trHeight w:val="248"/>
        </w:trPr>
        <w:tc>
          <w:tcPr>
            <w:tcW w:w="800" w:type="dxa"/>
            <w:tcBorders>
              <w:left w:val="single" w:sz="8" w:space="0" w:color="auto"/>
              <w:right w:val="single" w:sz="8" w:space="0" w:color="auto"/>
            </w:tcBorders>
            <w:vAlign w:val="bottom"/>
          </w:tcPr>
          <w:p w:rsidR="003409D0" w:rsidRDefault="003409D0" w:rsidP="003409D0">
            <w:pPr>
              <w:rPr>
                <w:sz w:val="21"/>
                <w:szCs w:val="21"/>
              </w:rPr>
            </w:pPr>
          </w:p>
        </w:tc>
        <w:tc>
          <w:tcPr>
            <w:tcW w:w="2740" w:type="dxa"/>
            <w:tcBorders>
              <w:right w:val="single" w:sz="8" w:space="0" w:color="auto"/>
            </w:tcBorders>
            <w:vAlign w:val="bottom"/>
          </w:tcPr>
          <w:p w:rsidR="003409D0" w:rsidRDefault="003409D0" w:rsidP="003409D0">
            <w:pPr>
              <w:spacing w:line="248" w:lineRule="exact"/>
              <w:ind w:left="100"/>
              <w:rPr>
                <w:sz w:val="20"/>
                <w:szCs w:val="20"/>
              </w:rPr>
            </w:pPr>
            <w:r>
              <w:rPr>
                <w:rFonts w:eastAsia="Times New Roman"/>
                <w:sz w:val="24"/>
                <w:szCs w:val="24"/>
              </w:rPr>
              <w:t>Добровољни трансфери</w:t>
            </w:r>
          </w:p>
        </w:tc>
        <w:tc>
          <w:tcPr>
            <w:tcW w:w="1460" w:type="dxa"/>
            <w:tcBorders>
              <w:right w:val="single" w:sz="8" w:space="0" w:color="auto"/>
            </w:tcBorders>
            <w:vAlign w:val="bottom"/>
          </w:tcPr>
          <w:p w:rsidR="003409D0" w:rsidRPr="00717C12" w:rsidRDefault="003409D0" w:rsidP="003409D0">
            <w:pPr>
              <w:jc w:val="right"/>
              <w:rPr>
                <w:sz w:val="24"/>
                <w:szCs w:val="24"/>
                <w:lang/>
              </w:rPr>
            </w:pPr>
            <w:r>
              <w:rPr>
                <w:sz w:val="24"/>
                <w:szCs w:val="24"/>
                <w:lang/>
              </w:rPr>
              <w:t>1.000</w:t>
            </w:r>
          </w:p>
        </w:tc>
        <w:tc>
          <w:tcPr>
            <w:tcW w:w="1400" w:type="dxa"/>
            <w:tcBorders>
              <w:right w:val="single" w:sz="8" w:space="0" w:color="auto"/>
            </w:tcBorders>
            <w:vAlign w:val="bottom"/>
          </w:tcPr>
          <w:p w:rsidR="003409D0" w:rsidRPr="00717C12" w:rsidRDefault="003409D0" w:rsidP="003409D0">
            <w:pPr>
              <w:jc w:val="right"/>
              <w:rPr>
                <w:sz w:val="24"/>
                <w:szCs w:val="24"/>
                <w:lang/>
              </w:rPr>
            </w:pPr>
            <w:r>
              <w:rPr>
                <w:sz w:val="24"/>
                <w:szCs w:val="24"/>
                <w:lang/>
              </w:rPr>
              <w:t>1.000</w:t>
            </w:r>
          </w:p>
        </w:tc>
        <w:tc>
          <w:tcPr>
            <w:tcW w:w="1420" w:type="dxa"/>
            <w:tcBorders>
              <w:right w:val="single" w:sz="8" w:space="0" w:color="auto"/>
            </w:tcBorders>
            <w:vAlign w:val="bottom"/>
          </w:tcPr>
          <w:p w:rsidR="003409D0" w:rsidRPr="00717C12" w:rsidRDefault="003409D0" w:rsidP="003409D0">
            <w:pPr>
              <w:jc w:val="right"/>
              <w:rPr>
                <w:sz w:val="24"/>
                <w:szCs w:val="24"/>
                <w:lang/>
              </w:rPr>
            </w:pPr>
            <w:r>
              <w:rPr>
                <w:sz w:val="24"/>
                <w:szCs w:val="24"/>
                <w:lang/>
              </w:rPr>
              <w:t>1.000</w:t>
            </w:r>
          </w:p>
        </w:tc>
        <w:tc>
          <w:tcPr>
            <w:tcW w:w="1260" w:type="dxa"/>
            <w:tcBorders>
              <w:right w:val="single" w:sz="8" w:space="0" w:color="auto"/>
            </w:tcBorders>
            <w:vAlign w:val="bottom"/>
          </w:tcPr>
          <w:p w:rsidR="003409D0" w:rsidRPr="00717C12" w:rsidRDefault="003409D0" w:rsidP="003409D0">
            <w:pPr>
              <w:jc w:val="right"/>
              <w:rPr>
                <w:sz w:val="24"/>
                <w:szCs w:val="24"/>
                <w:lang/>
              </w:rPr>
            </w:pPr>
            <w:r>
              <w:rPr>
                <w:sz w:val="24"/>
                <w:szCs w:val="24"/>
                <w:lang/>
              </w:rPr>
              <w:t>1.000</w:t>
            </w:r>
          </w:p>
        </w:tc>
        <w:tc>
          <w:tcPr>
            <w:tcW w:w="30" w:type="dxa"/>
            <w:vAlign w:val="bottom"/>
          </w:tcPr>
          <w:p w:rsidR="003409D0" w:rsidRDefault="003409D0" w:rsidP="003409D0">
            <w:pPr>
              <w:rPr>
                <w:sz w:val="1"/>
                <w:szCs w:val="1"/>
              </w:rPr>
            </w:pPr>
          </w:p>
        </w:tc>
      </w:tr>
      <w:tr w:rsidR="003409D0" w:rsidTr="0030416D">
        <w:trPr>
          <w:trHeight w:val="276"/>
        </w:trPr>
        <w:tc>
          <w:tcPr>
            <w:tcW w:w="800" w:type="dxa"/>
            <w:tcBorders>
              <w:left w:val="single" w:sz="8" w:space="0" w:color="auto"/>
              <w:right w:val="single" w:sz="8" w:space="0" w:color="auto"/>
            </w:tcBorders>
            <w:vAlign w:val="bottom"/>
          </w:tcPr>
          <w:p w:rsidR="003409D0" w:rsidRDefault="003409D0" w:rsidP="003409D0">
            <w:pPr>
              <w:jc w:val="center"/>
              <w:rPr>
                <w:sz w:val="20"/>
                <w:szCs w:val="20"/>
              </w:rPr>
            </w:pPr>
            <w:r>
              <w:rPr>
                <w:rFonts w:eastAsia="Times New Roman"/>
                <w:w w:val="99"/>
                <w:sz w:val="24"/>
                <w:szCs w:val="24"/>
              </w:rPr>
              <w:t>744</w:t>
            </w:r>
          </w:p>
        </w:tc>
        <w:tc>
          <w:tcPr>
            <w:tcW w:w="2740" w:type="dxa"/>
            <w:tcBorders>
              <w:right w:val="single" w:sz="8" w:space="0" w:color="auto"/>
            </w:tcBorders>
            <w:vAlign w:val="bottom"/>
          </w:tcPr>
          <w:p w:rsidR="003409D0" w:rsidRDefault="003409D0" w:rsidP="003409D0">
            <w:pPr>
              <w:ind w:left="100"/>
              <w:rPr>
                <w:sz w:val="20"/>
                <w:szCs w:val="20"/>
              </w:rPr>
            </w:pPr>
            <w:r>
              <w:rPr>
                <w:rFonts w:eastAsia="Times New Roman"/>
                <w:sz w:val="24"/>
                <w:szCs w:val="24"/>
              </w:rPr>
              <w:t>од физичких и правних</w:t>
            </w:r>
          </w:p>
        </w:tc>
        <w:tc>
          <w:tcPr>
            <w:tcW w:w="1460" w:type="dxa"/>
            <w:tcBorders>
              <w:right w:val="single" w:sz="8" w:space="0" w:color="auto"/>
            </w:tcBorders>
            <w:vAlign w:val="bottom"/>
          </w:tcPr>
          <w:p w:rsidR="003409D0" w:rsidRPr="00A7441D" w:rsidRDefault="003409D0" w:rsidP="003409D0">
            <w:pPr>
              <w:jc w:val="right"/>
              <w:rPr>
                <w:sz w:val="24"/>
                <w:szCs w:val="24"/>
              </w:rPr>
            </w:pPr>
          </w:p>
        </w:tc>
        <w:tc>
          <w:tcPr>
            <w:tcW w:w="1400" w:type="dxa"/>
            <w:tcBorders>
              <w:right w:val="single" w:sz="8" w:space="0" w:color="auto"/>
            </w:tcBorders>
            <w:vAlign w:val="bottom"/>
          </w:tcPr>
          <w:p w:rsidR="003409D0" w:rsidRPr="00A7441D" w:rsidRDefault="003409D0" w:rsidP="003409D0">
            <w:pPr>
              <w:jc w:val="right"/>
              <w:rPr>
                <w:sz w:val="24"/>
                <w:szCs w:val="24"/>
              </w:rPr>
            </w:pPr>
          </w:p>
        </w:tc>
        <w:tc>
          <w:tcPr>
            <w:tcW w:w="1420" w:type="dxa"/>
            <w:tcBorders>
              <w:right w:val="single" w:sz="8" w:space="0" w:color="auto"/>
            </w:tcBorders>
            <w:vAlign w:val="bottom"/>
          </w:tcPr>
          <w:p w:rsidR="003409D0" w:rsidRPr="00A7441D" w:rsidRDefault="003409D0" w:rsidP="003409D0">
            <w:pPr>
              <w:jc w:val="right"/>
              <w:rPr>
                <w:sz w:val="24"/>
                <w:szCs w:val="24"/>
              </w:rPr>
            </w:pPr>
          </w:p>
        </w:tc>
        <w:tc>
          <w:tcPr>
            <w:tcW w:w="1260" w:type="dxa"/>
            <w:tcBorders>
              <w:right w:val="single" w:sz="8" w:space="0" w:color="auto"/>
            </w:tcBorders>
            <w:vAlign w:val="bottom"/>
          </w:tcPr>
          <w:p w:rsidR="003409D0" w:rsidRPr="00A7441D" w:rsidRDefault="003409D0" w:rsidP="003409D0">
            <w:pPr>
              <w:jc w:val="right"/>
              <w:rPr>
                <w:sz w:val="24"/>
                <w:szCs w:val="24"/>
              </w:rPr>
            </w:pPr>
          </w:p>
        </w:tc>
        <w:tc>
          <w:tcPr>
            <w:tcW w:w="30" w:type="dxa"/>
            <w:vAlign w:val="bottom"/>
          </w:tcPr>
          <w:p w:rsidR="003409D0" w:rsidRDefault="003409D0" w:rsidP="003409D0">
            <w:pPr>
              <w:rPr>
                <w:sz w:val="1"/>
                <w:szCs w:val="1"/>
              </w:rPr>
            </w:pPr>
          </w:p>
        </w:tc>
      </w:tr>
      <w:tr w:rsidR="003409D0" w:rsidTr="0030416D">
        <w:trPr>
          <w:trHeight w:val="295"/>
        </w:trPr>
        <w:tc>
          <w:tcPr>
            <w:tcW w:w="800" w:type="dxa"/>
            <w:tcBorders>
              <w:left w:val="single" w:sz="8" w:space="0" w:color="auto"/>
              <w:bottom w:val="single" w:sz="8" w:space="0" w:color="auto"/>
              <w:right w:val="single" w:sz="8" w:space="0" w:color="auto"/>
            </w:tcBorders>
            <w:vAlign w:val="bottom"/>
          </w:tcPr>
          <w:p w:rsidR="003409D0" w:rsidRDefault="003409D0" w:rsidP="003409D0">
            <w:pPr>
              <w:rPr>
                <w:sz w:val="24"/>
                <w:szCs w:val="24"/>
              </w:rPr>
            </w:pPr>
          </w:p>
        </w:tc>
        <w:tc>
          <w:tcPr>
            <w:tcW w:w="2740" w:type="dxa"/>
            <w:tcBorders>
              <w:bottom w:val="single" w:sz="8" w:space="0" w:color="auto"/>
              <w:right w:val="single" w:sz="8" w:space="0" w:color="auto"/>
            </w:tcBorders>
            <w:vAlign w:val="bottom"/>
          </w:tcPr>
          <w:p w:rsidR="003409D0" w:rsidRDefault="003409D0" w:rsidP="003409D0">
            <w:pPr>
              <w:ind w:left="100"/>
              <w:rPr>
                <w:sz w:val="20"/>
                <w:szCs w:val="20"/>
              </w:rPr>
            </w:pPr>
            <w:r>
              <w:rPr>
                <w:rFonts w:eastAsia="Times New Roman"/>
                <w:sz w:val="24"/>
                <w:szCs w:val="24"/>
              </w:rPr>
              <w:t>лица</w:t>
            </w:r>
          </w:p>
        </w:tc>
        <w:tc>
          <w:tcPr>
            <w:tcW w:w="1460" w:type="dxa"/>
            <w:tcBorders>
              <w:bottom w:val="single" w:sz="8" w:space="0" w:color="auto"/>
              <w:right w:val="single" w:sz="8" w:space="0" w:color="auto"/>
            </w:tcBorders>
            <w:vAlign w:val="bottom"/>
          </w:tcPr>
          <w:p w:rsidR="003409D0" w:rsidRPr="00A7441D" w:rsidRDefault="003409D0" w:rsidP="003409D0">
            <w:pPr>
              <w:jc w:val="right"/>
              <w:rPr>
                <w:sz w:val="24"/>
                <w:szCs w:val="24"/>
              </w:rPr>
            </w:pPr>
          </w:p>
        </w:tc>
        <w:tc>
          <w:tcPr>
            <w:tcW w:w="1400" w:type="dxa"/>
            <w:tcBorders>
              <w:bottom w:val="single" w:sz="8" w:space="0" w:color="auto"/>
              <w:right w:val="single" w:sz="8" w:space="0" w:color="auto"/>
            </w:tcBorders>
            <w:vAlign w:val="bottom"/>
          </w:tcPr>
          <w:p w:rsidR="003409D0" w:rsidRPr="00A7441D" w:rsidRDefault="003409D0" w:rsidP="003409D0">
            <w:pPr>
              <w:jc w:val="right"/>
              <w:rPr>
                <w:sz w:val="24"/>
                <w:szCs w:val="24"/>
              </w:rPr>
            </w:pPr>
          </w:p>
        </w:tc>
        <w:tc>
          <w:tcPr>
            <w:tcW w:w="1420" w:type="dxa"/>
            <w:tcBorders>
              <w:bottom w:val="single" w:sz="8" w:space="0" w:color="auto"/>
              <w:right w:val="single" w:sz="8" w:space="0" w:color="auto"/>
            </w:tcBorders>
            <w:vAlign w:val="bottom"/>
          </w:tcPr>
          <w:p w:rsidR="003409D0" w:rsidRPr="00A7441D" w:rsidRDefault="003409D0" w:rsidP="003409D0">
            <w:pPr>
              <w:jc w:val="right"/>
              <w:rPr>
                <w:sz w:val="24"/>
                <w:szCs w:val="24"/>
              </w:rPr>
            </w:pPr>
          </w:p>
        </w:tc>
        <w:tc>
          <w:tcPr>
            <w:tcW w:w="1260" w:type="dxa"/>
            <w:tcBorders>
              <w:bottom w:val="single" w:sz="8" w:space="0" w:color="auto"/>
              <w:right w:val="single" w:sz="8" w:space="0" w:color="auto"/>
            </w:tcBorders>
            <w:vAlign w:val="bottom"/>
          </w:tcPr>
          <w:p w:rsidR="003409D0" w:rsidRPr="00A7441D" w:rsidRDefault="003409D0" w:rsidP="003409D0">
            <w:pPr>
              <w:jc w:val="right"/>
              <w:rPr>
                <w:sz w:val="24"/>
                <w:szCs w:val="24"/>
              </w:rPr>
            </w:pPr>
          </w:p>
        </w:tc>
        <w:tc>
          <w:tcPr>
            <w:tcW w:w="30" w:type="dxa"/>
            <w:vAlign w:val="bottom"/>
          </w:tcPr>
          <w:p w:rsidR="003409D0" w:rsidRDefault="003409D0" w:rsidP="003409D0">
            <w:pPr>
              <w:rPr>
                <w:sz w:val="1"/>
                <w:szCs w:val="1"/>
              </w:rPr>
            </w:pPr>
          </w:p>
        </w:tc>
      </w:tr>
      <w:tr w:rsidR="003409D0" w:rsidTr="0030416D">
        <w:trPr>
          <w:trHeight w:val="247"/>
        </w:trPr>
        <w:tc>
          <w:tcPr>
            <w:tcW w:w="800" w:type="dxa"/>
            <w:vMerge w:val="restart"/>
            <w:tcBorders>
              <w:left w:val="single" w:sz="8" w:space="0" w:color="auto"/>
              <w:right w:val="single" w:sz="8" w:space="0" w:color="auto"/>
            </w:tcBorders>
            <w:vAlign w:val="bottom"/>
          </w:tcPr>
          <w:p w:rsidR="003409D0" w:rsidRDefault="003409D0" w:rsidP="003409D0">
            <w:pPr>
              <w:rPr>
                <w:sz w:val="20"/>
                <w:szCs w:val="20"/>
              </w:rPr>
            </w:pPr>
            <w:r>
              <w:rPr>
                <w:rFonts w:eastAsia="Times New Roman"/>
                <w:w w:val="99"/>
                <w:sz w:val="24"/>
                <w:szCs w:val="24"/>
                <w:lang/>
              </w:rPr>
              <w:t xml:space="preserve">    </w:t>
            </w:r>
            <w:r>
              <w:rPr>
                <w:rFonts w:eastAsia="Times New Roman"/>
                <w:w w:val="99"/>
                <w:sz w:val="24"/>
                <w:szCs w:val="24"/>
              </w:rPr>
              <w:t>745</w:t>
            </w:r>
          </w:p>
        </w:tc>
        <w:tc>
          <w:tcPr>
            <w:tcW w:w="2740" w:type="dxa"/>
            <w:tcBorders>
              <w:right w:val="single" w:sz="8" w:space="0" w:color="auto"/>
            </w:tcBorders>
            <w:vAlign w:val="bottom"/>
          </w:tcPr>
          <w:p w:rsidR="003409D0" w:rsidRDefault="003409D0" w:rsidP="003409D0">
            <w:pPr>
              <w:spacing w:line="247" w:lineRule="exact"/>
              <w:ind w:left="100"/>
              <w:rPr>
                <w:sz w:val="20"/>
                <w:szCs w:val="20"/>
              </w:rPr>
            </w:pPr>
            <w:r>
              <w:rPr>
                <w:rFonts w:eastAsia="Times New Roman"/>
                <w:sz w:val="24"/>
                <w:szCs w:val="24"/>
              </w:rPr>
              <w:t>Мешовити и</w:t>
            </w:r>
          </w:p>
        </w:tc>
        <w:tc>
          <w:tcPr>
            <w:tcW w:w="1460" w:type="dxa"/>
            <w:tcBorders>
              <w:right w:val="single" w:sz="8" w:space="0" w:color="auto"/>
            </w:tcBorders>
            <w:vAlign w:val="bottom"/>
          </w:tcPr>
          <w:p w:rsidR="003409D0" w:rsidRPr="00717C12" w:rsidRDefault="003409D0" w:rsidP="003409D0">
            <w:pPr>
              <w:jc w:val="right"/>
              <w:rPr>
                <w:sz w:val="24"/>
                <w:szCs w:val="24"/>
                <w:lang/>
              </w:rPr>
            </w:pPr>
            <w:r>
              <w:rPr>
                <w:sz w:val="24"/>
                <w:szCs w:val="24"/>
                <w:lang/>
              </w:rPr>
              <w:t>1.380</w:t>
            </w:r>
          </w:p>
        </w:tc>
        <w:tc>
          <w:tcPr>
            <w:tcW w:w="1400" w:type="dxa"/>
            <w:tcBorders>
              <w:right w:val="single" w:sz="8" w:space="0" w:color="auto"/>
            </w:tcBorders>
            <w:vAlign w:val="bottom"/>
          </w:tcPr>
          <w:p w:rsidR="003409D0" w:rsidRPr="00717C12" w:rsidRDefault="003409D0" w:rsidP="003409D0">
            <w:pPr>
              <w:jc w:val="right"/>
              <w:rPr>
                <w:sz w:val="24"/>
                <w:szCs w:val="24"/>
                <w:lang/>
              </w:rPr>
            </w:pPr>
            <w:r>
              <w:rPr>
                <w:sz w:val="24"/>
                <w:szCs w:val="24"/>
                <w:lang/>
              </w:rPr>
              <w:t>1.380</w:t>
            </w:r>
          </w:p>
        </w:tc>
        <w:tc>
          <w:tcPr>
            <w:tcW w:w="1420" w:type="dxa"/>
            <w:tcBorders>
              <w:right w:val="single" w:sz="8" w:space="0" w:color="auto"/>
            </w:tcBorders>
            <w:vAlign w:val="bottom"/>
          </w:tcPr>
          <w:p w:rsidR="003409D0" w:rsidRPr="00717C12" w:rsidRDefault="003409D0" w:rsidP="003409D0">
            <w:pPr>
              <w:jc w:val="right"/>
              <w:rPr>
                <w:sz w:val="24"/>
                <w:szCs w:val="24"/>
                <w:lang/>
              </w:rPr>
            </w:pPr>
            <w:r>
              <w:rPr>
                <w:sz w:val="24"/>
                <w:szCs w:val="24"/>
                <w:lang/>
              </w:rPr>
              <w:t>1.380</w:t>
            </w:r>
          </w:p>
        </w:tc>
        <w:tc>
          <w:tcPr>
            <w:tcW w:w="1260" w:type="dxa"/>
            <w:tcBorders>
              <w:right w:val="single" w:sz="8" w:space="0" w:color="auto"/>
            </w:tcBorders>
            <w:vAlign w:val="bottom"/>
          </w:tcPr>
          <w:p w:rsidR="003409D0" w:rsidRPr="00717C12" w:rsidRDefault="003409D0" w:rsidP="003409D0">
            <w:pPr>
              <w:jc w:val="right"/>
              <w:rPr>
                <w:sz w:val="24"/>
                <w:szCs w:val="24"/>
                <w:lang/>
              </w:rPr>
            </w:pPr>
            <w:r>
              <w:rPr>
                <w:sz w:val="24"/>
                <w:szCs w:val="24"/>
                <w:lang/>
              </w:rPr>
              <w:t>1.380</w:t>
            </w:r>
          </w:p>
        </w:tc>
        <w:tc>
          <w:tcPr>
            <w:tcW w:w="30" w:type="dxa"/>
            <w:vAlign w:val="bottom"/>
          </w:tcPr>
          <w:p w:rsidR="003409D0" w:rsidRDefault="003409D0" w:rsidP="003409D0">
            <w:pPr>
              <w:rPr>
                <w:sz w:val="1"/>
                <w:szCs w:val="1"/>
              </w:rPr>
            </w:pPr>
          </w:p>
        </w:tc>
      </w:tr>
      <w:tr w:rsidR="003409D0" w:rsidTr="00717C12">
        <w:trPr>
          <w:trHeight w:val="438"/>
        </w:trPr>
        <w:tc>
          <w:tcPr>
            <w:tcW w:w="800" w:type="dxa"/>
            <w:vMerge/>
            <w:tcBorders>
              <w:left w:val="single" w:sz="8" w:space="0" w:color="auto"/>
              <w:right w:val="single" w:sz="8" w:space="0" w:color="auto"/>
            </w:tcBorders>
            <w:vAlign w:val="bottom"/>
          </w:tcPr>
          <w:p w:rsidR="003409D0" w:rsidRDefault="003409D0" w:rsidP="003409D0">
            <w:pPr>
              <w:rPr>
                <w:sz w:val="15"/>
                <w:szCs w:val="15"/>
              </w:rPr>
            </w:pPr>
          </w:p>
        </w:tc>
        <w:tc>
          <w:tcPr>
            <w:tcW w:w="2740" w:type="dxa"/>
            <w:vMerge w:val="restart"/>
            <w:tcBorders>
              <w:right w:val="single" w:sz="8" w:space="0" w:color="auto"/>
            </w:tcBorders>
            <w:vAlign w:val="bottom"/>
          </w:tcPr>
          <w:p w:rsidR="003409D0" w:rsidRDefault="003409D0" w:rsidP="003409D0">
            <w:pPr>
              <w:rPr>
                <w:sz w:val="20"/>
                <w:szCs w:val="20"/>
              </w:rPr>
            </w:pPr>
            <w:r>
              <w:rPr>
                <w:rFonts w:eastAsia="Times New Roman"/>
                <w:sz w:val="24"/>
                <w:szCs w:val="24"/>
              </w:rPr>
              <w:t>неодређени приходи</w:t>
            </w:r>
          </w:p>
        </w:tc>
        <w:tc>
          <w:tcPr>
            <w:tcW w:w="1460" w:type="dxa"/>
            <w:vMerge w:val="restart"/>
            <w:tcBorders>
              <w:right w:val="single" w:sz="8" w:space="0" w:color="auto"/>
            </w:tcBorders>
            <w:vAlign w:val="bottom"/>
          </w:tcPr>
          <w:p w:rsidR="003409D0" w:rsidRPr="00A7441D" w:rsidRDefault="003409D0" w:rsidP="003409D0">
            <w:pPr>
              <w:jc w:val="right"/>
              <w:rPr>
                <w:sz w:val="24"/>
                <w:szCs w:val="24"/>
              </w:rPr>
            </w:pPr>
          </w:p>
        </w:tc>
        <w:tc>
          <w:tcPr>
            <w:tcW w:w="1400" w:type="dxa"/>
            <w:vMerge w:val="restart"/>
            <w:tcBorders>
              <w:right w:val="single" w:sz="8" w:space="0" w:color="auto"/>
            </w:tcBorders>
            <w:vAlign w:val="bottom"/>
          </w:tcPr>
          <w:p w:rsidR="003409D0" w:rsidRPr="00A7441D" w:rsidRDefault="003409D0" w:rsidP="003409D0">
            <w:pPr>
              <w:jc w:val="right"/>
              <w:rPr>
                <w:sz w:val="24"/>
                <w:szCs w:val="24"/>
              </w:rPr>
            </w:pPr>
          </w:p>
        </w:tc>
        <w:tc>
          <w:tcPr>
            <w:tcW w:w="1420" w:type="dxa"/>
            <w:vMerge w:val="restart"/>
            <w:tcBorders>
              <w:right w:val="single" w:sz="8" w:space="0" w:color="auto"/>
            </w:tcBorders>
            <w:vAlign w:val="bottom"/>
          </w:tcPr>
          <w:p w:rsidR="003409D0" w:rsidRPr="00A7441D" w:rsidRDefault="003409D0" w:rsidP="003409D0">
            <w:pPr>
              <w:jc w:val="right"/>
              <w:rPr>
                <w:sz w:val="24"/>
                <w:szCs w:val="24"/>
              </w:rPr>
            </w:pPr>
          </w:p>
        </w:tc>
        <w:tc>
          <w:tcPr>
            <w:tcW w:w="1260" w:type="dxa"/>
            <w:vMerge w:val="restart"/>
            <w:tcBorders>
              <w:right w:val="single" w:sz="8" w:space="0" w:color="auto"/>
            </w:tcBorders>
            <w:vAlign w:val="bottom"/>
          </w:tcPr>
          <w:p w:rsidR="003409D0" w:rsidRPr="00A7441D" w:rsidRDefault="003409D0" w:rsidP="003409D0">
            <w:pPr>
              <w:jc w:val="right"/>
              <w:rPr>
                <w:sz w:val="24"/>
                <w:szCs w:val="24"/>
              </w:rPr>
            </w:pPr>
          </w:p>
        </w:tc>
        <w:tc>
          <w:tcPr>
            <w:tcW w:w="30" w:type="dxa"/>
            <w:vAlign w:val="bottom"/>
          </w:tcPr>
          <w:p w:rsidR="003409D0" w:rsidRDefault="003409D0" w:rsidP="003409D0">
            <w:pPr>
              <w:rPr>
                <w:sz w:val="1"/>
                <w:szCs w:val="1"/>
              </w:rPr>
            </w:pPr>
          </w:p>
        </w:tc>
      </w:tr>
      <w:tr w:rsidR="003409D0" w:rsidTr="00717C12">
        <w:trPr>
          <w:trHeight w:val="80"/>
        </w:trPr>
        <w:tc>
          <w:tcPr>
            <w:tcW w:w="800" w:type="dxa"/>
            <w:tcBorders>
              <w:left w:val="single" w:sz="8" w:space="0" w:color="auto"/>
              <w:bottom w:val="single" w:sz="8" w:space="0" w:color="auto"/>
              <w:right w:val="single" w:sz="8" w:space="0" w:color="auto"/>
            </w:tcBorders>
            <w:vAlign w:val="bottom"/>
          </w:tcPr>
          <w:p w:rsidR="003409D0" w:rsidRDefault="003409D0" w:rsidP="003409D0">
            <w:pPr>
              <w:rPr>
                <w:sz w:val="10"/>
                <w:szCs w:val="10"/>
              </w:rPr>
            </w:pPr>
          </w:p>
        </w:tc>
        <w:tc>
          <w:tcPr>
            <w:tcW w:w="2740" w:type="dxa"/>
            <w:vMerge/>
            <w:tcBorders>
              <w:bottom w:val="single" w:sz="8" w:space="0" w:color="auto"/>
              <w:right w:val="single" w:sz="8" w:space="0" w:color="auto"/>
            </w:tcBorders>
            <w:vAlign w:val="bottom"/>
          </w:tcPr>
          <w:p w:rsidR="003409D0" w:rsidRDefault="003409D0" w:rsidP="003409D0">
            <w:pPr>
              <w:rPr>
                <w:sz w:val="10"/>
                <w:szCs w:val="10"/>
              </w:rPr>
            </w:pPr>
          </w:p>
        </w:tc>
        <w:tc>
          <w:tcPr>
            <w:tcW w:w="1460" w:type="dxa"/>
            <w:vMerge/>
            <w:tcBorders>
              <w:bottom w:val="single" w:sz="8" w:space="0" w:color="auto"/>
              <w:right w:val="single" w:sz="8" w:space="0" w:color="auto"/>
            </w:tcBorders>
            <w:vAlign w:val="bottom"/>
          </w:tcPr>
          <w:p w:rsidR="003409D0" w:rsidRPr="00A7441D" w:rsidRDefault="003409D0" w:rsidP="003409D0">
            <w:pPr>
              <w:jc w:val="right"/>
              <w:rPr>
                <w:sz w:val="24"/>
                <w:szCs w:val="24"/>
              </w:rPr>
            </w:pPr>
          </w:p>
        </w:tc>
        <w:tc>
          <w:tcPr>
            <w:tcW w:w="1400" w:type="dxa"/>
            <w:vMerge/>
            <w:tcBorders>
              <w:bottom w:val="single" w:sz="8" w:space="0" w:color="auto"/>
              <w:right w:val="single" w:sz="8" w:space="0" w:color="auto"/>
            </w:tcBorders>
            <w:vAlign w:val="bottom"/>
          </w:tcPr>
          <w:p w:rsidR="003409D0" w:rsidRPr="00EE32E3" w:rsidRDefault="003409D0" w:rsidP="003409D0">
            <w:pPr>
              <w:jc w:val="right"/>
              <w:rPr>
                <w:sz w:val="24"/>
                <w:szCs w:val="24"/>
              </w:rPr>
            </w:pPr>
          </w:p>
        </w:tc>
        <w:tc>
          <w:tcPr>
            <w:tcW w:w="1420" w:type="dxa"/>
            <w:vMerge/>
            <w:tcBorders>
              <w:bottom w:val="single" w:sz="8" w:space="0" w:color="auto"/>
              <w:right w:val="single" w:sz="8" w:space="0" w:color="auto"/>
            </w:tcBorders>
            <w:vAlign w:val="bottom"/>
          </w:tcPr>
          <w:p w:rsidR="003409D0" w:rsidRPr="003343D4" w:rsidRDefault="003409D0" w:rsidP="003409D0">
            <w:pPr>
              <w:jc w:val="right"/>
              <w:rPr>
                <w:sz w:val="24"/>
                <w:szCs w:val="24"/>
              </w:rPr>
            </w:pPr>
          </w:p>
        </w:tc>
        <w:tc>
          <w:tcPr>
            <w:tcW w:w="1260" w:type="dxa"/>
            <w:vMerge/>
            <w:tcBorders>
              <w:bottom w:val="single" w:sz="8" w:space="0" w:color="auto"/>
              <w:right w:val="single" w:sz="8" w:space="0" w:color="auto"/>
            </w:tcBorders>
            <w:vAlign w:val="bottom"/>
          </w:tcPr>
          <w:p w:rsidR="003409D0" w:rsidRPr="00AB1ADC" w:rsidRDefault="003409D0" w:rsidP="003409D0">
            <w:pPr>
              <w:jc w:val="right"/>
              <w:rPr>
                <w:sz w:val="24"/>
                <w:szCs w:val="24"/>
              </w:rPr>
            </w:pPr>
          </w:p>
        </w:tc>
        <w:tc>
          <w:tcPr>
            <w:tcW w:w="30" w:type="dxa"/>
            <w:vAlign w:val="bottom"/>
          </w:tcPr>
          <w:p w:rsidR="003409D0" w:rsidRDefault="003409D0" w:rsidP="003409D0">
            <w:pPr>
              <w:rPr>
                <w:sz w:val="1"/>
                <w:szCs w:val="1"/>
              </w:rPr>
            </w:pPr>
          </w:p>
        </w:tc>
      </w:tr>
      <w:tr w:rsidR="003409D0" w:rsidTr="0030416D">
        <w:trPr>
          <w:trHeight w:val="247"/>
        </w:trPr>
        <w:tc>
          <w:tcPr>
            <w:tcW w:w="800" w:type="dxa"/>
            <w:vMerge w:val="restart"/>
            <w:tcBorders>
              <w:left w:val="single" w:sz="8" w:space="0" w:color="auto"/>
              <w:right w:val="single" w:sz="8" w:space="0" w:color="auto"/>
            </w:tcBorders>
            <w:vAlign w:val="bottom"/>
          </w:tcPr>
          <w:p w:rsidR="003409D0" w:rsidRDefault="003409D0" w:rsidP="003409D0">
            <w:pPr>
              <w:jc w:val="center"/>
              <w:rPr>
                <w:sz w:val="20"/>
                <w:szCs w:val="20"/>
              </w:rPr>
            </w:pPr>
            <w:r>
              <w:rPr>
                <w:rFonts w:eastAsia="Times New Roman"/>
                <w:w w:val="99"/>
                <w:sz w:val="24"/>
                <w:szCs w:val="24"/>
              </w:rPr>
              <w:t>810</w:t>
            </w:r>
          </w:p>
        </w:tc>
        <w:tc>
          <w:tcPr>
            <w:tcW w:w="2740" w:type="dxa"/>
            <w:tcBorders>
              <w:right w:val="single" w:sz="8" w:space="0" w:color="auto"/>
            </w:tcBorders>
            <w:vAlign w:val="bottom"/>
          </w:tcPr>
          <w:p w:rsidR="003409D0" w:rsidRDefault="003409D0" w:rsidP="003409D0">
            <w:pPr>
              <w:spacing w:line="247" w:lineRule="exact"/>
              <w:ind w:left="100"/>
              <w:rPr>
                <w:sz w:val="20"/>
                <w:szCs w:val="20"/>
              </w:rPr>
            </w:pPr>
            <w:r>
              <w:rPr>
                <w:rFonts w:eastAsia="Times New Roman"/>
                <w:sz w:val="24"/>
                <w:szCs w:val="24"/>
              </w:rPr>
              <w:t>Примања од продаје</w:t>
            </w:r>
          </w:p>
        </w:tc>
        <w:tc>
          <w:tcPr>
            <w:tcW w:w="1460" w:type="dxa"/>
            <w:tcBorders>
              <w:right w:val="single" w:sz="8" w:space="0" w:color="auto"/>
            </w:tcBorders>
            <w:vAlign w:val="bottom"/>
          </w:tcPr>
          <w:p w:rsidR="003409D0" w:rsidRPr="003409D0" w:rsidRDefault="003409D0" w:rsidP="003409D0">
            <w:pPr>
              <w:jc w:val="right"/>
              <w:rPr>
                <w:sz w:val="21"/>
                <w:szCs w:val="21"/>
                <w:lang/>
              </w:rPr>
            </w:pPr>
            <w:r>
              <w:rPr>
                <w:sz w:val="21"/>
                <w:szCs w:val="21"/>
                <w:lang/>
              </w:rPr>
              <w:t>100</w:t>
            </w:r>
          </w:p>
        </w:tc>
        <w:tc>
          <w:tcPr>
            <w:tcW w:w="1400" w:type="dxa"/>
            <w:tcBorders>
              <w:right w:val="single" w:sz="8" w:space="0" w:color="auto"/>
            </w:tcBorders>
            <w:vAlign w:val="bottom"/>
          </w:tcPr>
          <w:p w:rsidR="003409D0" w:rsidRPr="003409D0" w:rsidRDefault="003409D0" w:rsidP="003409D0">
            <w:pPr>
              <w:jc w:val="right"/>
              <w:rPr>
                <w:sz w:val="21"/>
                <w:szCs w:val="21"/>
                <w:lang/>
              </w:rPr>
            </w:pPr>
            <w:r>
              <w:rPr>
                <w:sz w:val="21"/>
                <w:szCs w:val="21"/>
                <w:lang/>
              </w:rPr>
              <w:t>100</w:t>
            </w:r>
          </w:p>
        </w:tc>
        <w:tc>
          <w:tcPr>
            <w:tcW w:w="1420" w:type="dxa"/>
            <w:tcBorders>
              <w:right w:val="single" w:sz="8" w:space="0" w:color="auto"/>
            </w:tcBorders>
            <w:vAlign w:val="bottom"/>
          </w:tcPr>
          <w:p w:rsidR="003409D0" w:rsidRPr="003409D0" w:rsidRDefault="003409D0" w:rsidP="003409D0">
            <w:pPr>
              <w:jc w:val="right"/>
              <w:rPr>
                <w:sz w:val="21"/>
                <w:szCs w:val="21"/>
                <w:lang/>
              </w:rPr>
            </w:pPr>
            <w:r>
              <w:rPr>
                <w:sz w:val="21"/>
                <w:szCs w:val="21"/>
                <w:lang/>
              </w:rPr>
              <w:t>100</w:t>
            </w:r>
          </w:p>
        </w:tc>
        <w:tc>
          <w:tcPr>
            <w:tcW w:w="1260" w:type="dxa"/>
            <w:tcBorders>
              <w:right w:val="single" w:sz="8" w:space="0" w:color="auto"/>
            </w:tcBorders>
            <w:vAlign w:val="bottom"/>
          </w:tcPr>
          <w:p w:rsidR="003409D0" w:rsidRPr="003409D0" w:rsidRDefault="003409D0" w:rsidP="003409D0">
            <w:pPr>
              <w:jc w:val="right"/>
              <w:rPr>
                <w:sz w:val="21"/>
                <w:szCs w:val="21"/>
                <w:lang/>
              </w:rPr>
            </w:pPr>
            <w:r>
              <w:rPr>
                <w:sz w:val="21"/>
                <w:szCs w:val="21"/>
                <w:lang/>
              </w:rPr>
              <w:t>100</w:t>
            </w:r>
          </w:p>
        </w:tc>
        <w:tc>
          <w:tcPr>
            <w:tcW w:w="30" w:type="dxa"/>
            <w:vAlign w:val="bottom"/>
          </w:tcPr>
          <w:p w:rsidR="003409D0" w:rsidRDefault="003409D0" w:rsidP="003409D0">
            <w:pPr>
              <w:rPr>
                <w:sz w:val="1"/>
                <w:szCs w:val="1"/>
              </w:rPr>
            </w:pPr>
          </w:p>
        </w:tc>
      </w:tr>
      <w:tr w:rsidR="003409D0" w:rsidTr="0030416D">
        <w:trPr>
          <w:trHeight w:val="174"/>
        </w:trPr>
        <w:tc>
          <w:tcPr>
            <w:tcW w:w="800" w:type="dxa"/>
            <w:vMerge/>
            <w:tcBorders>
              <w:left w:val="single" w:sz="8" w:space="0" w:color="auto"/>
              <w:right w:val="single" w:sz="8" w:space="0" w:color="auto"/>
            </w:tcBorders>
            <w:vAlign w:val="bottom"/>
          </w:tcPr>
          <w:p w:rsidR="003409D0" w:rsidRDefault="003409D0" w:rsidP="003409D0">
            <w:pPr>
              <w:rPr>
                <w:sz w:val="15"/>
                <w:szCs w:val="15"/>
              </w:rPr>
            </w:pPr>
          </w:p>
        </w:tc>
        <w:tc>
          <w:tcPr>
            <w:tcW w:w="2740" w:type="dxa"/>
            <w:vMerge w:val="restart"/>
            <w:tcBorders>
              <w:right w:val="single" w:sz="8" w:space="0" w:color="auto"/>
            </w:tcBorders>
            <w:vAlign w:val="bottom"/>
          </w:tcPr>
          <w:p w:rsidR="003409D0" w:rsidRDefault="003409D0" w:rsidP="003409D0">
            <w:pPr>
              <w:ind w:left="100"/>
              <w:rPr>
                <w:sz w:val="20"/>
                <w:szCs w:val="20"/>
              </w:rPr>
            </w:pPr>
            <w:r>
              <w:rPr>
                <w:rFonts w:eastAsia="Times New Roman"/>
                <w:sz w:val="24"/>
                <w:szCs w:val="24"/>
              </w:rPr>
              <w:t>основних средстава</w:t>
            </w:r>
          </w:p>
        </w:tc>
        <w:tc>
          <w:tcPr>
            <w:tcW w:w="1460" w:type="dxa"/>
            <w:vMerge w:val="restart"/>
            <w:tcBorders>
              <w:right w:val="single" w:sz="8" w:space="0" w:color="auto"/>
            </w:tcBorders>
            <w:vAlign w:val="bottom"/>
          </w:tcPr>
          <w:p w:rsidR="003409D0" w:rsidRDefault="003409D0" w:rsidP="003409D0">
            <w:pPr>
              <w:jc w:val="right"/>
              <w:rPr>
                <w:sz w:val="20"/>
                <w:szCs w:val="20"/>
              </w:rPr>
            </w:pPr>
          </w:p>
        </w:tc>
        <w:tc>
          <w:tcPr>
            <w:tcW w:w="1400" w:type="dxa"/>
            <w:vMerge w:val="restart"/>
            <w:tcBorders>
              <w:right w:val="single" w:sz="8" w:space="0" w:color="auto"/>
            </w:tcBorders>
            <w:vAlign w:val="bottom"/>
          </w:tcPr>
          <w:p w:rsidR="003409D0" w:rsidRDefault="003409D0" w:rsidP="003409D0">
            <w:pPr>
              <w:jc w:val="right"/>
              <w:rPr>
                <w:sz w:val="20"/>
                <w:szCs w:val="20"/>
              </w:rPr>
            </w:pPr>
          </w:p>
        </w:tc>
        <w:tc>
          <w:tcPr>
            <w:tcW w:w="1420" w:type="dxa"/>
            <w:vMerge w:val="restart"/>
            <w:tcBorders>
              <w:right w:val="single" w:sz="8" w:space="0" w:color="auto"/>
            </w:tcBorders>
            <w:vAlign w:val="bottom"/>
          </w:tcPr>
          <w:p w:rsidR="003409D0" w:rsidRDefault="003409D0" w:rsidP="003409D0">
            <w:pPr>
              <w:jc w:val="right"/>
              <w:rPr>
                <w:sz w:val="20"/>
                <w:szCs w:val="20"/>
              </w:rPr>
            </w:pPr>
          </w:p>
        </w:tc>
        <w:tc>
          <w:tcPr>
            <w:tcW w:w="1260" w:type="dxa"/>
            <w:vMerge w:val="restart"/>
            <w:tcBorders>
              <w:right w:val="single" w:sz="8" w:space="0" w:color="auto"/>
            </w:tcBorders>
            <w:vAlign w:val="bottom"/>
          </w:tcPr>
          <w:p w:rsidR="003409D0" w:rsidRDefault="003409D0" w:rsidP="003409D0">
            <w:pPr>
              <w:jc w:val="right"/>
              <w:rPr>
                <w:sz w:val="20"/>
                <w:szCs w:val="20"/>
              </w:rPr>
            </w:pPr>
          </w:p>
        </w:tc>
        <w:tc>
          <w:tcPr>
            <w:tcW w:w="30" w:type="dxa"/>
            <w:vAlign w:val="bottom"/>
          </w:tcPr>
          <w:p w:rsidR="003409D0" w:rsidRDefault="003409D0" w:rsidP="003409D0">
            <w:pPr>
              <w:rPr>
                <w:sz w:val="1"/>
                <w:szCs w:val="1"/>
              </w:rPr>
            </w:pPr>
          </w:p>
        </w:tc>
      </w:tr>
      <w:tr w:rsidR="003409D0" w:rsidTr="0030416D">
        <w:trPr>
          <w:trHeight w:val="121"/>
        </w:trPr>
        <w:tc>
          <w:tcPr>
            <w:tcW w:w="800" w:type="dxa"/>
            <w:tcBorders>
              <w:left w:val="single" w:sz="8" w:space="0" w:color="auto"/>
              <w:bottom w:val="single" w:sz="8" w:space="0" w:color="auto"/>
              <w:right w:val="single" w:sz="8" w:space="0" w:color="auto"/>
            </w:tcBorders>
            <w:vAlign w:val="bottom"/>
          </w:tcPr>
          <w:p w:rsidR="003409D0" w:rsidRDefault="003409D0" w:rsidP="003409D0">
            <w:pPr>
              <w:rPr>
                <w:sz w:val="10"/>
                <w:szCs w:val="10"/>
              </w:rPr>
            </w:pPr>
          </w:p>
        </w:tc>
        <w:tc>
          <w:tcPr>
            <w:tcW w:w="2740" w:type="dxa"/>
            <w:vMerge/>
            <w:tcBorders>
              <w:bottom w:val="single" w:sz="8" w:space="0" w:color="auto"/>
              <w:right w:val="single" w:sz="8" w:space="0" w:color="auto"/>
            </w:tcBorders>
            <w:vAlign w:val="bottom"/>
          </w:tcPr>
          <w:p w:rsidR="003409D0" w:rsidRDefault="003409D0" w:rsidP="003409D0">
            <w:pPr>
              <w:rPr>
                <w:sz w:val="10"/>
                <w:szCs w:val="10"/>
              </w:rPr>
            </w:pPr>
          </w:p>
        </w:tc>
        <w:tc>
          <w:tcPr>
            <w:tcW w:w="1460" w:type="dxa"/>
            <w:vMerge/>
            <w:tcBorders>
              <w:bottom w:val="single" w:sz="8" w:space="0" w:color="auto"/>
              <w:right w:val="single" w:sz="8" w:space="0" w:color="auto"/>
            </w:tcBorders>
            <w:vAlign w:val="bottom"/>
          </w:tcPr>
          <w:p w:rsidR="003409D0" w:rsidRDefault="003409D0" w:rsidP="003409D0">
            <w:pPr>
              <w:rPr>
                <w:sz w:val="10"/>
                <w:szCs w:val="10"/>
              </w:rPr>
            </w:pPr>
          </w:p>
        </w:tc>
        <w:tc>
          <w:tcPr>
            <w:tcW w:w="1400" w:type="dxa"/>
            <w:vMerge/>
            <w:tcBorders>
              <w:bottom w:val="single" w:sz="8" w:space="0" w:color="auto"/>
              <w:right w:val="single" w:sz="8" w:space="0" w:color="auto"/>
            </w:tcBorders>
            <w:vAlign w:val="bottom"/>
          </w:tcPr>
          <w:p w:rsidR="003409D0" w:rsidRDefault="003409D0" w:rsidP="003409D0">
            <w:pPr>
              <w:rPr>
                <w:sz w:val="10"/>
                <w:szCs w:val="10"/>
              </w:rPr>
            </w:pPr>
          </w:p>
        </w:tc>
        <w:tc>
          <w:tcPr>
            <w:tcW w:w="1420" w:type="dxa"/>
            <w:vMerge/>
            <w:tcBorders>
              <w:bottom w:val="single" w:sz="8" w:space="0" w:color="auto"/>
              <w:right w:val="single" w:sz="8" w:space="0" w:color="auto"/>
            </w:tcBorders>
            <w:vAlign w:val="bottom"/>
          </w:tcPr>
          <w:p w:rsidR="003409D0" w:rsidRDefault="003409D0" w:rsidP="003409D0">
            <w:pPr>
              <w:rPr>
                <w:sz w:val="10"/>
                <w:szCs w:val="10"/>
              </w:rPr>
            </w:pPr>
          </w:p>
        </w:tc>
        <w:tc>
          <w:tcPr>
            <w:tcW w:w="1260" w:type="dxa"/>
            <w:vMerge/>
            <w:tcBorders>
              <w:bottom w:val="single" w:sz="8" w:space="0" w:color="auto"/>
              <w:right w:val="single" w:sz="8" w:space="0" w:color="auto"/>
            </w:tcBorders>
            <w:vAlign w:val="bottom"/>
          </w:tcPr>
          <w:p w:rsidR="003409D0" w:rsidRDefault="003409D0" w:rsidP="003409D0">
            <w:pPr>
              <w:rPr>
                <w:sz w:val="10"/>
                <w:szCs w:val="10"/>
              </w:rPr>
            </w:pPr>
          </w:p>
        </w:tc>
        <w:tc>
          <w:tcPr>
            <w:tcW w:w="30" w:type="dxa"/>
            <w:vAlign w:val="bottom"/>
          </w:tcPr>
          <w:p w:rsidR="003409D0" w:rsidRDefault="003409D0" w:rsidP="003409D0">
            <w:pPr>
              <w:rPr>
                <w:sz w:val="1"/>
                <w:szCs w:val="1"/>
              </w:rPr>
            </w:pPr>
          </w:p>
        </w:tc>
      </w:tr>
      <w:tr w:rsidR="003409D0" w:rsidTr="0030416D">
        <w:trPr>
          <w:trHeight w:val="248"/>
        </w:trPr>
        <w:tc>
          <w:tcPr>
            <w:tcW w:w="800" w:type="dxa"/>
            <w:vMerge w:val="restart"/>
            <w:tcBorders>
              <w:left w:val="single" w:sz="8" w:space="0" w:color="auto"/>
              <w:right w:val="single" w:sz="8" w:space="0" w:color="auto"/>
            </w:tcBorders>
            <w:vAlign w:val="bottom"/>
          </w:tcPr>
          <w:p w:rsidR="003409D0" w:rsidRDefault="003409D0" w:rsidP="003409D0">
            <w:pPr>
              <w:jc w:val="center"/>
              <w:rPr>
                <w:sz w:val="20"/>
                <w:szCs w:val="20"/>
              </w:rPr>
            </w:pPr>
            <w:r>
              <w:rPr>
                <w:rFonts w:eastAsia="Times New Roman"/>
                <w:w w:val="99"/>
                <w:sz w:val="24"/>
                <w:szCs w:val="24"/>
              </w:rPr>
              <w:t>91</w:t>
            </w:r>
          </w:p>
        </w:tc>
        <w:tc>
          <w:tcPr>
            <w:tcW w:w="2740" w:type="dxa"/>
            <w:tcBorders>
              <w:right w:val="single" w:sz="8" w:space="0" w:color="auto"/>
            </w:tcBorders>
            <w:vAlign w:val="bottom"/>
          </w:tcPr>
          <w:p w:rsidR="003409D0" w:rsidRDefault="003409D0" w:rsidP="003409D0">
            <w:pPr>
              <w:spacing w:line="248" w:lineRule="exact"/>
              <w:ind w:left="100"/>
              <w:rPr>
                <w:sz w:val="20"/>
                <w:szCs w:val="20"/>
              </w:rPr>
            </w:pPr>
            <w:r>
              <w:rPr>
                <w:rFonts w:eastAsia="Times New Roman"/>
                <w:sz w:val="24"/>
                <w:szCs w:val="24"/>
              </w:rPr>
              <w:t>Примања од</w:t>
            </w:r>
          </w:p>
        </w:tc>
        <w:tc>
          <w:tcPr>
            <w:tcW w:w="1460" w:type="dxa"/>
            <w:vMerge w:val="restart"/>
            <w:tcBorders>
              <w:right w:val="single" w:sz="8" w:space="0" w:color="auto"/>
            </w:tcBorders>
            <w:vAlign w:val="bottom"/>
          </w:tcPr>
          <w:p w:rsidR="003409D0" w:rsidRPr="003409D0" w:rsidRDefault="003409D0" w:rsidP="003409D0">
            <w:pPr>
              <w:jc w:val="right"/>
              <w:rPr>
                <w:sz w:val="20"/>
                <w:szCs w:val="20"/>
                <w:lang/>
              </w:rPr>
            </w:pPr>
            <w:r>
              <w:rPr>
                <w:sz w:val="20"/>
                <w:szCs w:val="20"/>
                <w:lang/>
              </w:rPr>
              <w:t>0</w:t>
            </w:r>
          </w:p>
        </w:tc>
        <w:tc>
          <w:tcPr>
            <w:tcW w:w="1400" w:type="dxa"/>
            <w:tcBorders>
              <w:right w:val="single" w:sz="8" w:space="0" w:color="auto"/>
            </w:tcBorders>
            <w:vAlign w:val="bottom"/>
          </w:tcPr>
          <w:p w:rsidR="003409D0" w:rsidRPr="003409D0" w:rsidRDefault="003409D0" w:rsidP="003409D0">
            <w:pPr>
              <w:jc w:val="right"/>
              <w:rPr>
                <w:sz w:val="20"/>
                <w:szCs w:val="20"/>
                <w:lang/>
              </w:rPr>
            </w:pPr>
            <w:r>
              <w:rPr>
                <w:sz w:val="20"/>
                <w:szCs w:val="20"/>
                <w:lang/>
              </w:rPr>
              <w:t>0</w:t>
            </w:r>
          </w:p>
        </w:tc>
        <w:tc>
          <w:tcPr>
            <w:tcW w:w="1420" w:type="dxa"/>
            <w:tcBorders>
              <w:right w:val="single" w:sz="8" w:space="0" w:color="auto"/>
            </w:tcBorders>
            <w:vAlign w:val="bottom"/>
          </w:tcPr>
          <w:p w:rsidR="003409D0" w:rsidRPr="003409D0" w:rsidRDefault="003409D0" w:rsidP="003409D0">
            <w:pPr>
              <w:jc w:val="right"/>
              <w:rPr>
                <w:sz w:val="20"/>
                <w:szCs w:val="20"/>
                <w:lang/>
              </w:rPr>
            </w:pPr>
            <w:r>
              <w:rPr>
                <w:sz w:val="20"/>
                <w:szCs w:val="20"/>
                <w:lang/>
              </w:rPr>
              <w:t>0</w:t>
            </w:r>
          </w:p>
        </w:tc>
        <w:tc>
          <w:tcPr>
            <w:tcW w:w="1260" w:type="dxa"/>
            <w:tcBorders>
              <w:right w:val="single" w:sz="8" w:space="0" w:color="auto"/>
            </w:tcBorders>
            <w:vAlign w:val="bottom"/>
          </w:tcPr>
          <w:p w:rsidR="003409D0" w:rsidRPr="003409D0" w:rsidRDefault="003409D0" w:rsidP="003409D0">
            <w:pPr>
              <w:jc w:val="right"/>
              <w:rPr>
                <w:sz w:val="20"/>
                <w:szCs w:val="20"/>
                <w:lang/>
              </w:rPr>
            </w:pPr>
            <w:r>
              <w:rPr>
                <w:sz w:val="20"/>
                <w:szCs w:val="20"/>
                <w:lang/>
              </w:rPr>
              <w:t>0</w:t>
            </w:r>
          </w:p>
        </w:tc>
        <w:tc>
          <w:tcPr>
            <w:tcW w:w="30" w:type="dxa"/>
            <w:vAlign w:val="bottom"/>
          </w:tcPr>
          <w:p w:rsidR="003409D0" w:rsidRDefault="003409D0" w:rsidP="003409D0">
            <w:pPr>
              <w:rPr>
                <w:sz w:val="1"/>
                <w:szCs w:val="1"/>
              </w:rPr>
            </w:pPr>
          </w:p>
        </w:tc>
      </w:tr>
      <w:tr w:rsidR="003409D0" w:rsidTr="0030416D">
        <w:trPr>
          <w:trHeight w:val="174"/>
        </w:trPr>
        <w:tc>
          <w:tcPr>
            <w:tcW w:w="800" w:type="dxa"/>
            <w:vMerge/>
            <w:tcBorders>
              <w:left w:val="single" w:sz="8" w:space="0" w:color="auto"/>
              <w:right w:val="single" w:sz="8" w:space="0" w:color="auto"/>
            </w:tcBorders>
            <w:vAlign w:val="bottom"/>
          </w:tcPr>
          <w:p w:rsidR="003409D0" w:rsidRDefault="003409D0" w:rsidP="003409D0">
            <w:pPr>
              <w:rPr>
                <w:sz w:val="15"/>
                <w:szCs w:val="15"/>
              </w:rPr>
            </w:pPr>
          </w:p>
        </w:tc>
        <w:tc>
          <w:tcPr>
            <w:tcW w:w="2740" w:type="dxa"/>
            <w:vMerge w:val="restart"/>
            <w:tcBorders>
              <w:right w:val="single" w:sz="8" w:space="0" w:color="auto"/>
            </w:tcBorders>
            <w:vAlign w:val="bottom"/>
          </w:tcPr>
          <w:p w:rsidR="003409D0" w:rsidRDefault="003409D0" w:rsidP="003409D0">
            <w:pPr>
              <w:ind w:left="100"/>
              <w:rPr>
                <w:sz w:val="20"/>
                <w:szCs w:val="20"/>
              </w:rPr>
            </w:pPr>
            <w:r>
              <w:rPr>
                <w:rFonts w:eastAsia="Times New Roman"/>
                <w:sz w:val="24"/>
                <w:szCs w:val="24"/>
              </w:rPr>
              <w:t>задуживања</w:t>
            </w:r>
          </w:p>
        </w:tc>
        <w:tc>
          <w:tcPr>
            <w:tcW w:w="1460" w:type="dxa"/>
            <w:vMerge/>
            <w:tcBorders>
              <w:right w:val="single" w:sz="8" w:space="0" w:color="auto"/>
            </w:tcBorders>
            <w:vAlign w:val="bottom"/>
          </w:tcPr>
          <w:p w:rsidR="003409D0" w:rsidRDefault="003409D0" w:rsidP="003409D0">
            <w:pPr>
              <w:rPr>
                <w:sz w:val="15"/>
                <w:szCs w:val="15"/>
              </w:rPr>
            </w:pPr>
          </w:p>
        </w:tc>
        <w:tc>
          <w:tcPr>
            <w:tcW w:w="1400" w:type="dxa"/>
            <w:tcBorders>
              <w:right w:val="single" w:sz="8" w:space="0" w:color="auto"/>
            </w:tcBorders>
            <w:vAlign w:val="bottom"/>
          </w:tcPr>
          <w:p w:rsidR="003409D0" w:rsidRDefault="003409D0" w:rsidP="003409D0">
            <w:pPr>
              <w:rPr>
                <w:sz w:val="15"/>
                <w:szCs w:val="15"/>
              </w:rPr>
            </w:pPr>
          </w:p>
        </w:tc>
        <w:tc>
          <w:tcPr>
            <w:tcW w:w="1420" w:type="dxa"/>
            <w:tcBorders>
              <w:right w:val="single" w:sz="8" w:space="0" w:color="auto"/>
            </w:tcBorders>
            <w:vAlign w:val="bottom"/>
          </w:tcPr>
          <w:p w:rsidR="003409D0" w:rsidRDefault="003409D0" w:rsidP="003409D0">
            <w:pPr>
              <w:rPr>
                <w:sz w:val="15"/>
                <w:szCs w:val="15"/>
              </w:rPr>
            </w:pPr>
          </w:p>
        </w:tc>
        <w:tc>
          <w:tcPr>
            <w:tcW w:w="1260" w:type="dxa"/>
            <w:tcBorders>
              <w:right w:val="single" w:sz="8" w:space="0" w:color="auto"/>
            </w:tcBorders>
            <w:vAlign w:val="bottom"/>
          </w:tcPr>
          <w:p w:rsidR="003409D0" w:rsidRDefault="003409D0" w:rsidP="003409D0">
            <w:pPr>
              <w:rPr>
                <w:sz w:val="15"/>
                <w:szCs w:val="15"/>
              </w:rPr>
            </w:pPr>
          </w:p>
        </w:tc>
        <w:tc>
          <w:tcPr>
            <w:tcW w:w="30" w:type="dxa"/>
            <w:vAlign w:val="bottom"/>
          </w:tcPr>
          <w:p w:rsidR="003409D0" w:rsidRDefault="003409D0" w:rsidP="003409D0">
            <w:pPr>
              <w:rPr>
                <w:sz w:val="1"/>
                <w:szCs w:val="1"/>
              </w:rPr>
            </w:pPr>
          </w:p>
        </w:tc>
      </w:tr>
      <w:tr w:rsidR="003409D0" w:rsidTr="0030416D">
        <w:trPr>
          <w:trHeight w:val="121"/>
        </w:trPr>
        <w:tc>
          <w:tcPr>
            <w:tcW w:w="800" w:type="dxa"/>
            <w:tcBorders>
              <w:left w:val="single" w:sz="8" w:space="0" w:color="auto"/>
              <w:bottom w:val="single" w:sz="8" w:space="0" w:color="auto"/>
              <w:right w:val="single" w:sz="8" w:space="0" w:color="auto"/>
            </w:tcBorders>
            <w:vAlign w:val="bottom"/>
          </w:tcPr>
          <w:p w:rsidR="003409D0" w:rsidRDefault="003409D0" w:rsidP="003409D0">
            <w:pPr>
              <w:rPr>
                <w:sz w:val="10"/>
                <w:szCs w:val="10"/>
              </w:rPr>
            </w:pPr>
          </w:p>
        </w:tc>
        <w:tc>
          <w:tcPr>
            <w:tcW w:w="2740" w:type="dxa"/>
            <w:vMerge/>
            <w:tcBorders>
              <w:bottom w:val="single" w:sz="8" w:space="0" w:color="auto"/>
              <w:right w:val="single" w:sz="8" w:space="0" w:color="auto"/>
            </w:tcBorders>
            <w:vAlign w:val="bottom"/>
          </w:tcPr>
          <w:p w:rsidR="003409D0" w:rsidRDefault="003409D0" w:rsidP="003409D0">
            <w:pPr>
              <w:rPr>
                <w:sz w:val="10"/>
                <w:szCs w:val="10"/>
              </w:rPr>
            </w:pPr>
          </w:p>
        </w:tc>
        <w:tc>
          <w:tcPr>
            <w:tcW w:w="1460" w:type="dxa"/>
            <w:tcBorders>
              <w:bottom w:val="single" w:sz="8" w:space="0" w:color="auto"/>
              <w:right w:val="single" w:sz="8" w:space="0" w:color="auto"/>
            </w:tcBorders>
            <w:vAlign w:val="bottom"/>
          </w:tcPr>
          <w:p w:rsidR="003409D0" w:rsidRDefault="003409D0" w:rsidP="003409D0">
            <w:pPr>
              <w:rPr>
                <w:sz w:val="10"/>
                <w:szCs w:val="10"/>
              </w:rPr>
            </w:pPr>
          </w:p>
        </w:tc>
        <w:tc>
          <w:tcPr>
            <w:tcW w:w="1400" w:type="dxa"/>
            <w:tcBorders>
              <w:bottom w:val="single" w:sz="8" w:space="0" w:color="auto"/>
              <w:right w:val="single" w:sz="8" w:space="0" w:color="auto"/>
            </w:tcBorders>
            <w:vAlign w:val="bottom"/>
          </w:tcPr>
          <w:p w:rsidR="003409D0" w:rsidRDefault="003409D0" w:rsidP="003409D0">
            <w:pPr>
              <w:rPr>
                <w:sz w:val="10"/>
                <w:szCs w:val="10"/>
              </w:rPr>
            </w:pPr>
          </w:p>
        </w:tc>
        <w:tc>
          <w:tcPr>
            <w:tcW w:w="1420" w:type="dxa"/>
            <w:tcBorders>
              <w:bottom w:val="single" w:sz="8" w:space="0" w:color="auto"/>
              <w:right w:val="single" w:sz="8" w:space="0" w:color="auto"/>
            </w:tcBorders>
            <w:vAlign w:val="bottom"/>
          </w:tcPr>
          <w:p w:rsidR="003409D0" w:rsidRDefault="003409D0" w:rsidP="003409D0">
            <w:pPr>
              <w:rPr>
                <w:sz w:val="10"/>
                <w:szCs w:val="10"/>
              </w:rPr>
            </w:pPr>
          </w:p>
        </w:tc>
        <w:tc>
          <w:tcPr>
            <w:tcW w:w="1260" w:type="dxa"/>
            <w:tcBorders>
              <w:bottom w:val="single" w:sz="8" w:space="0" w:color="auto"/>
              <w:right w:val="single" w:sz="8" w:space="0" w:color="auto"/>
            </w:tcBorders>
            <w:vAlign w:val="bottom"/>
          </w:tcPr>
          <w:p w:rsidR="003409D0" w:rsidRDefault="003409D0" w:rsidP="003409D0">
            <w:pPr>
              <w:rPr>
                <w:sz w:val="10"/>
                <w:szCs w:val="10"/>
              </w:rPr>
            </w:pPr>
          </w:p>
        </w:tc>
        <w:tc>
          <w:tcPr>
            <w:tcW w:w="30" w:type="dxa"/>
            <w:vAlign w:val="bottom"/>
          </w:tcPr>
          <w:p w:rsidR="003409D0" w:rsidRDefault="003409D0" w:rsidP="003409D0">
            <w:pPr>
              <w:rPr>
                <w:sz w:val="1"/>
                <w:szCs w:val="1"/>
              </w:rPr>
            </w:pPr>
          </w:p>
        </w:tc>
      </w:tr>
      <w:tr w:rsidR="003409D0" w:rsidTr="0030416D">
        <w:trPr>
          <w:trHeight w:val="266"/>
        </w:trPr>
        <w:tc>
          <w:tcPr>
            <w:tcW w:w="800" w:type="dxa"/>
            <w:tcBorders>
              <w:left w:val="single" w:sz="8" w:space="0" w:color="auto"/>
              <w:bottom w:val="single" w:sz="8" w:space="0" w:color="auto"/>
            </w:tcBorders>
            <w:vAlign w:val="bottom"/>
          </w:tcPr>
          <w:p w:rsidR="003409D0" w:rsidRDefault="003409D0" w:rsidP="003409D0">
            <w:pPr>
              <w:rPr>
                <w:sz w:val="23"/>
                <w:szCs w:val="23"/>
              </w:rPr>
            </w:pPr>
          </w:p>
        </w:tc>
        <w:tc>
          <w:tcPr>
            <w:tcW w:w="2740" w:type="dxa"/>
            <w:tcBorders>
              <w:bottom w:val="single" w:sz="8" w:space="0" w:color="auto"/>
              <w:right w:val="single" w:sz="8" w:space="0" w:color="auto"/>
            </w:tcBorders>
            <w:vAlign w:val="bottom"/>
          </w:tcPr>
          <w:p w:rsidR="003409D0" w:rsidRDefault="003409D0" w:rsidP="003409D0">
            <w:pPr>
              <w:spacing w:line="265" w:lineRule="exact"/>
              <w:ind w:left="800"/>
              <w:rPr>
                <w:sz w:val="20"/>
                <w:szCs w:val="20"/>
              </w:rPr>
            </w:pPr>
            <w:r>
              <w:rPr>
                <w:rFonts w:eastAsia="Times New Roman"/>
                <w:b/>
                <w:bCs/>
                <w:sz w:val="24"/>
                <w:szCs w:val="24"/>
              </w:rPr>
              <w:t>СВЕГА</w:t>
            </w:r>
          </w:p>
        </w:tc>
        <w:tc>
          <w:tcPr>
            <w:tcW w:w="1460" w:type="dxa"/>
            <w:tcBorders>
              <w:bottom w:val="single" w:sz="8" w:space="0" w:color="auto"/>
              <w:right w:val="single" w:sz="8" w:space="0" w:color="auto"/>
            </w:tcBorders>
            <w:vAlign w:val="bottom"/>
          </w:tcPr>
          <w:p w:rsidR="003409D0" w:rsidRPr="003409D0" w:rsidRDefault="003409D0" w:rsidP="003409D0">
            <w:pPr>
              <w:spacing w:line="265" w:lineRule="exact"/>
              <w:jc w:val="right"/>
              <w:rPr>
                <w:sz w:val="24"/>
                <w:szCs w:val="24"/>
                <w:lang/>
              </w:rPr>
            </w:pPr>
            <w:r>
              <w:rPr>
                <w:sz w:val="24"/>
                <w:szCs w:val="24"/>
                <w:lang/>
              </w:rPr>
              <w:t>297.222</w:t>
            </w:r>
          </w:p>
        </w:tc>
        <w:tc>
          <w:tcPr>
            <w:tcW w:w="1400" w:type="dxa"/>
            <w:tcBorders>
              <w:bottom w:val="single" w:sz="8" w:space="0" w:color="auto"/>
              <w:right w:val="single" w:sz="8" w:space="0" w:color="auto"/>
            </w:tcBorders>
            <w:vAlign w:val="bottom"/>
          </w:tcPr>
          <w:p w:rsidR="003409D0" w:rsidRPr="003409D0" w:rsidRDefault="003409D0" w:rsidP="003409D0">
            <w:pPr>
              <w:spacing w:line="265" w:lineRule="exact"/>
              <w:jc w:val="right"/>
              <w:rPr>
                <w:sz w:val="24"/>
                <w:szCs w:val="24"/>
                <w:lang/>
              </w:rPr>
            </w:pPr>
            <w:r>
              <w:rPr>
                <w:sz w:val="24"/>
                <w:szCs w:val="24"/>
                <w:lang/>
              </w:rPr>
              <w:t>297.222</w:t>
            </w:r>
          </w:p>
        </w:tc>
        <w:tc>
          <w:tcPr>
            <w:tcW w:w="1420" w:type="dxa"/>
            <w:tcBorders>
              <w:bottom w:val="single" w:sz="8" w:space="0" w:color="auto"/>
              <w:right w:val="single" w:sz="8" w:space="0" w:color="auto"/>
            </w:tcBorders>
            <w:vAlign w:val="bottom"/>
          </w:tcPr>
          <w:p w:rsidR="003409D0" w:rsidRPr="003409D0" w:rsidRDefault="003409D0" w:rsidP="003409D0">
            <w:pPr>
              <w:spacing w:line="265" w:lineRule="exact"/>
              <w:jc w:val="right"/>
              <w:rPr>
                <w:sz w:val="24"/>
                <w:szCs w:val="24"/>
                <w:lang/>
              </w:rPr>
            </w:pPr>
            <w:r>
              <w:rPr>
                <w:sz w:val="24"/>
                <w:szCs w:val="24"/>
                <w:lang/>
              </w:rPr>
              <w:t>297.222</w:t>
            </w:r>
          </w:p>
        </w:tc>
        <w:tc>
          <w:tcPr>
            <w:tcW w:w="1260" w:type="dxa"/>
            <w:tcBorders>
              <w:bottom w:val="single" w:sz="8" w:space="0" w:color="auto"/>
              <w:right w:val="single" w:sz="8" w:space="0" w:color="auto"/>
            </w:tcBorders>
            <w:vAlign w:val="bottom"/>
          </w:tcPr>
          <w:p w:rsidR="003409D0" w:rsidRPr="003409D0" w:rsidRDefault="003409D0" w:rsidP="003409D0">
            <w:pPr>
              <w:spacing w:line="265" w:lineRule="exact"/>
              <w:jc w:val="right"/>
              <w:rPr>
                <w:sz w:val="24"/>
                <w:szCs w:val="24"/>
                <w:lang/>
              </w:rPr>
            </w:pPr>
            <w:r>
              <w:rPr>
                <w:sz w:val="24"/>
                <w:szCs w:val="24"/>
                <w:lang/>
              </w:rPr>
              <w:t>297.222</w:t>
            </w:r>
          </w:p>
        </w:tc>
        <w:tc>
          <w:tcPr>
            <w:tcW w:w="30" w:type="dxa"/>
            <w:vAlign w:val="bottom"/>
          </w:tcPr>
          <w:p w:rsidR="003409D0" w:rsidRDefault="003409D0" w:rsidP="003409D0">
            <w:pPr>
              <w:rPr>
                <w:sz w:val="1"/>
                <w:szCs w:val="1"/>
              </w:rPr>
            </w:pPr>
          </w:p>
        </w:tc>
      </w:tr>
    </w:tbl>
    <w:p w:rsidR="00B9084D" w:rsidRPr="003409D0" w:rsidRDefault="00B9084D" w:rsidP="00C627FB">
      <w:pPr>
        <w:rPr>
          <w:sz w:val="24"/>
          <w:szCs w:val="24"/>
          <w:lang/>
        </w:rPr>
        <w:sectPr w:rsidR="00B9084D" w:rsidRPr="003409D0" w:rsidSect="00236870">
          <w:pgSz w:w="11900" w:h="16840"/>
          <w:pgMar w:top="1134" w:right="1404" w:bottom="439" w:left="1420" w:header="0" w:footer="0" w:gutter="0"/>
          <w:pgNumType w:start="1"/>
          <w:cols w:space="720" w:equalWidth="0">
            <w:col w:w="9080"/>
          </w:cols>
          <w:docGrid w:linePitch="299"/>
        </w:sectPr>
      </w:pPr>
    </w:p>
    <w:p w:rsidR="00410F3B" w:rsidRPr="003409D0" w:rsidRDefault="00410F3B" w:rsidP="00410F3B">
      <w:pPr>
        <w:jc w:val="both"/>
        <w:rPr>
          <w:sz w:val="24"/>
          <w:szCs w:val="24"/>
          <w:lang/>
        </w:rPr>
      </w:pPr>
      <w:bookmarkStart w:id="2" w:name="page3"/>
      <w:bookmarkEnd w:id="2"/>
    </w:p>
    <w:p w:rsidR="00634EF4" w:rsidRPr="00634EF4" w:rsidRDefault="00634EF4" w:rsidP="00634EF4">
      <w:pPr>
        <w:ind w:firstLine="720"/>
        <w:jc w:val="both"/>
        <w:rPr>
          <w:b/>
          <w:sz w:val="23"/>
          <w:szCs w:val="23"/>
        </w:rPr>
      </w:pPr>
      <w:bookmarkStart w:id="3" w:name="page6"/>
      <w:bookmarkEnd w:id="3"/>
      <w:r w:rsidRPr="00634EF4">
        <w:rPr>
          <w:b/>
          <w:sz w:val="23"/>
          <w:szCs w:val="23"/>
        </w:rPr>
        <w:t>Исказивање п</w:t>
      </w:r>
      <w:r w:rsidR="007144D3">
        <w:rPr>
          <w:b/>
          <w:sz w:val="23"/>
          <w:szCs w:val="23"/>
        </w:rPr>
        <w:t>р</w:t>
      </w:r>
      <w:r w:rsidRPr="00634EF4">
        <w:rPr>
          <w:b/>
          <w:sz w:val="23"/>
          <w:szCs w:val="23"/>
        </w:rPr>
        <w:t xml:space="preserve">ихода </w:t>
      </w:r>
      <w:r w:rsidR="00732BC3">
        <w:rPr>
          <w:b/>
          <w:sz w:val="23"/>
          <w:szCs w:val="23"/>
        </w:rPr>
        <w:t xml:space="preserve">и расхода </w:t>
      </w:r>
      <w:r w:rsidRPr="00634EF4">
        <w:rPr>
          <w:b/>
          <w:sz w:val="23"/>
          <w:szCs w:val="23"/>
        </w:rPr>
        <w:t>код индиректних корисника</w:t>
      </w:r>
    </w:p>
    <w:p w:rsidR="00634EF4" w:rsidRDefault="00634EF4" w:rsidP="00634EF4">
      <w:pPr>
        <w:ind w:firstLine="720"/>
        <w:jc w:val="both"/>
        <w:rPr>
          <w:sz w:val="23"/>
          <w:szCs w:val="23"/>
        </w:rPr>
      </w:pPr>
    </w:p>
    <w:p w:rsidR="008C63AF" w:rsidRPr="008C63AF" w:rsidRDefault="008C63AF" w:rsidP="00634EF4">
      <w:pPr>
        <w:ind w:firstLine="720"/>
        <w:jc w:val="both"/>
        <w:rPr>
          <w:sz w:val="23"/>
          <w:szCs w:val="23"/>
        </w:rPr>
      </w:pPr>
    </w:p>
    <w:p w:rsidR="0039382F" w:rsidRPr="00562CA4" w:rsidRDefault="00634EF4" w:rsidP="00562CA4">
      <w:pPr>
        <w:ind w:firstLine="720"/>
        <w:jc w:val="both"/>
        <w:rPr>
          <w:b/>
          <w:sz w:val="24"/>
          <w:szCs w:val="24"/>
        </w:rPr>
      </w:pPr>
      <w:r>
        <w:rPr>
          <w:sz w:val="23"/>
          <w:szCs w:val="23"/>
        </w:rPr>
        <w:t>Jавнe приходe остварене по основу пружања услуга боравка деце у предшколским установама треба планирати на извору 01- Приходи из буџета.</w:t>
      </w:r>
      <w:r w:rsidRPr="00C9325F">
        <w:rPr>
          <w:sz w:val="23"/>
          <w:szCs w:val="23"/>
        </w:rPr>
        <w:t xml:space="preserve"> </w:t>
      </w:r>
      <w:r w:rsidR="00C9325F" w:rsidRPr="00C9325F">
        <w:rPr>
          <w:sz w:val="23"/>
          <w:szCs w:val="23"/>
        </w:rPr>
        <w:t>Правилник</w:t>
      </w:r>
      <w:r w:rsidR="00C9325F">
        <w:rPr>
          <w:sz w:val="23"/>
          <w:szCs w:val="23"/>
        </w:rPr>
        <w:t xml:space="preserve">ом о стандардном класификационом оквиру у Контном плану за буџетски систем је прописан субаналитички конто –Приходи остварени по основу пружања услуга боравка деце у предшколским установама у корист нивоа општина. Пошто  за уплате родитеља на име учешћа у цени услуге боравка треба уплатити на овај рачун а не на подрачун  Предшколске установе који је отворен за ове намене. </w:t>
      </w:r>
    </w:p>
    <w:p w:rsidR="00634EF4" w:rsidRDefault="00732BC3" w:rsidP="00732BC3">
      <w:pPr>
        <w:tabs>
          <w:tab w:val="left" w:pos="870"/>
        </w:tabs>
        <w:jc w:val="both"/>
        <w:rPr>
          <w:b/>
          <w:sz w:val="24"/>
          <w:szCs w:val="24"/>
        </w:rPr>
      </w:pPr>
      <w:r>
        <w:rPr>
          <w:b/>
          <w:sz w:val="24"/>
          <w:szCs w:val="24"/>
        </w:rPr>
        <w:tab/>
      </w:r>
      <w:r w:rsidRPr="00732BC3">
        <w:rPr>
          <w:sz w:val="24"/>
          <w:szCs w:val="24"/>
        </w:rPr>
        <w:t>Расходи кој</w:t>
      </w:r>
      <w:r>
        <w:rPr>
          <w:sz w:val="24"/>
          <w:szCs w:val="24"/>
        </w:rPr>
        <w:t xml:space="preserve">и </w:t>
      </w:r>
      <w:r w:rsidRPr="00732BC3">
        <w:rPr>
          <w:sz w:val="24"/>
          <w:szCs w:val="24"/>
        </w:rPr>
        <w:t xml:space="preserve"> се</w:t>
      </w:r>
      <w:r>
        <w:rPr>
          <w:sz w:val="24"/>
          <w:szCs w:val="24"/>
        </w:rPr>
        <w:t xml:space="preserve"> </w:t>
      </w:r>
      <w:r w:rsidRPr="00732BC3">
        <w:rPr>
          <w:sz w:val="24"/>
          <w:szCs w:val="24"/>
        </w:rPr>
        <w:t>финансирају из сопствених и осталих прихода</w:t>
      </w:r>
      <w:r>
        <w:rPr>
          <w:sz w:val="24"/>
          <w:szCs w:val="24"/>
        </w:rPr>
        <w:t xml:space="preserve"> </w:t>
      </w:r>
      <w:r w:rsidRPr="00732BC3">
        <w:rPr>
          <w:sz w:val="24"/>
          <w:szCs w:val="24"/>
        </w:rPr>
        <w:t>корисника морају бити у висини</w:t>
      </w:r>
      <w:r>
        <w:rPr>
          <w:sz w:val="24"/>
          <w:szCs w:val="24"/>
        </w:rPr>
        <w:t xml:space="preserve"> </w:t>
      </w:r>
      <w:r w:rsidRPr="00732BC3">
        <w:rPr>
          <w:sz w:val="24"/>
          <w:szCs w:val="24"/>
        </w:rPr>
        <w:t>процењених сопствених прихода</w:t>
      </w:r>
      <w:r>
        <w:rPr>
          <w:sz w:val="24"/>
          <w:szCs w:val="24"/>
        </w:rPr>
        <w:t xml:space="preserve"> односно</w:t>
      </w:r>
      <w:r w:rsidR="00C9325F">
        <w:rPr>
          <w:sz w:val="24"/>
          <w:szCs w:val="24"/>
        </w:rPr>
        <w:t xml:space="preserve"> </w:t>
      </w:r>
      <w:r>
        <w:rPr>
          <w:sz w:val="24"/>
          <w:szCs w:val="24"/>
        </w:rPr>
        <w:t>мора постојати равнотежа између планираних прихода и расхода тако да расходи не</w:t>
      </w:r>
      <w:r w:rsidR="00C9325F">
        <w:rPr>
          <w:sz w:val="24"/>
          <w:szCs w:val="24"/>
        </w:rPr>
        <w:t xml:space="preserve"> мог</w:t>
      </w:r>
      <w:r>
        <w:rPr>
          <w:sz w:val="24"/>
          <w:szCs w:val="24"/>
        </w:rPr>
        <w:t xml:space="preserve">у бити већи од пројектованих прихода из сопствених и осталих прихода који нису извор 01-приходи </w:t>
      </w:r>
      <w:r w:rsidR="00C9325F">
        <w:rPr>
          <w:sz w:val="24"/>
          <w:szCs w:val="24"/>
        </w:rPr>
        <w:t>из буџета. Услов за</w:t>
      </w:r>
      <w:r w:rsidR="008C63AF">
        <w:rPr>
          <w:sz w:val="24"/>
          <w:szCs w:val="24"/>
        </w:rPr>
        <w:t xml:space="preserve"> </w:t>
      </w:r>
      <w:r w:rsidR="00C9325F">
        <w:rPr>
          <w:sz w:val="24"/>
          <w:szCs w:val="24"/>
        </w:rPr>
        <w:t>коришћење ос</w:t>
      </w:r>
      <w:r>
        <w:rPr>
          <w:sz w:val="24"/>
          <w:szCs w:val="24"/>
        </w:rPr>
        <w:t>тварених сопствених прихода за одређену намену је расход планиран у буџету.</w:t>
      </w:r>
    </w:p>
    <w:p w:rsidR="00634EF4" w:rsidRDefault="00634EF4" w:rsidP="00410F3B">
      <w:pPr>
        <w:jc w:val="center"/>
        <w:rPr>
          <w:b/>
          <w:sz w:val="24"/>
          <w:szCs w:val="24"/>
        </w:rPr>
      </w:pPr>
    </w:p>
    <w:p w:rsidR="00634EF4" w:rsidRPr="00C627FB" w:rsidRDefault="00634EF4" w:rsidP="00C627FB">
      <w:pPr>
        <w:rPr>
          <w:b/>
          <w:sz w:val="24"/>
          <w:szCs w:val="24"/>
        </w:rPr>
      </w:pPr>
    </w:p>
    <w:p w:rsidR="00410F3B" w:rsidRPr="00F507AD" w:rsidRDefault="00410F3B" w:rsidP="00F507AD">
      <w:pPr>
        <w:jc w:val="center"/>
        <w:rPr>
          <w:b/>
          <w:sz w:val="24"/>
          <w:szCs w:val="24"/>
        </w:rPr>
      </w:pPr>
      <w:r w:rsidRPr="00410F3B">
        <w:rPr>
          <w:b/>
          <w:sz w:val="24"/>
          <w:szCs w:val="24"/>
        </w:rPr>
        <w:t>4.ОБИМ СРЕДСТАВА КОЈИ МОЖЕ ДА САДРЖИ ПРЕДЛОГ ФИНАНИЈСКОГ ПЛАНА ДИРЕКТНИХ СРЕДСТАВА БУЏЕТА</w:t>
      </w:r>
      <w:r w:rsidR="001F2A26">
        <w:rPr>
          <w:b/>
          <w:sz w:val="24"/>
          <w:szCs w:val="24"/>
        </w:rPr>
        <w:t xml:space="preserve"> ЛОКАЛНЕ ВЛАСТИ ЗА 201</w:t>
      </w:r>
      <w:r w:rsidR="001F2A26">
        <w:rPr>
          <w:b/>
          <w:sz w:val="24"/>
          <w:szCs w:val="24"/>
          <w:lang/>
        </w:rPr>
        <w:t>9</w:t>
      </w:r>
      <w:bookmarkStart w:id="4" w:name="_GoBack"/>
      <w:bookmarkEnd w:id="4"/>
      <w:r w:rsidRPr="00410F3B">
        <w:rPr>
          <w:b/>
          <w:sz w:val="24"/>
          <w:szCs w:val="24"/>
        </w:rPr>
        <w:t>.ГОДИНУ СА ПРОЈЕКЦИЈАМА ЗА ДВЕ ФИСКАЛНЕ ГОДИНЕ</w:t>
      </w:r>
    </w:p>
    <w:p w:rsidR="00410F3B" w:rsidRPr="00410F3B" w:rsidRDefault="00410F3B" w:rsidP="00410F3B">
      <w:pPr>
        <w:jc w:val="both"/>
        <w:rPr>
          <w:sz w:val="24"/>
          <w:szCs w:val="24"/>
        </w:rPr>
      </w:pPr>
    </w:p>
    <w:p w:rsidR="00410F3B" w:rsidRDefault="00AF2AF1" w:rsidP="007332FC">
      <w:pPr>
        <w:ind w:firstLine="720"/>
        <w:jc w:val="both"/>
        <w:rPr>
          <w:sz w:val="24"/>
          <w:szCs w:val="24"/>
        </w:rPr>
      </w:pPr>
      <w:r w:rsidRPr="00AF2AF1">
        <w:rPr>
          <w:sz w:val="24"/>
          <w:szCs w:val="24"/>
        </w:rPr>
        <w:t xml:space="preserve">Лимити расхода за буџетске кориснике општине </w:t>
      </w:r>
      <w:r w:rsidR="003409D0">
        <w:rPr>
          <w:sz w:val="24"/>
          <w:szCs w:val="24"/>
        </w:rPr>
        <w:t>Мало Црниће за 201</w:t>
      </w:r>
      <w:r w:rsidR="003409D0">
        <w:rPr>
          <w:sz w:val="24"/>
          <w:szCs w:val="24"/>
          <w:lang/>
        </w:rPr>
        <w:t>9</w:t>
      </w:r>
      <w:r w:rsidRPr="00AF2AF1">
        <w:rPr>
          <w:sz w:val="24"/>
          <w:szCs w:val="24"/>
        </w:rPr>
        <w:t>. годину, дати су на бази сагледавања потребних средстава за рад и функционисање буџетских корисника, створених обавеза и могућности смањења појединих расхода у оквиру директних и индиректних буџетских корисника, као и најављених законских про</w:t>
      </w:r>
      <w:r>
        <w:rPr>
          <w:sz w:val="24"/>
          <w:szCs w:val="24"/>
        </w:rPr>
        <w:t xml:space="preserve">писа од стране Владе Републике </w:t>
      </w:r>
      <w:r w:rsidRPr="00AF2AF1">
        <w:rPr>
          <w:sz w:val="24"/>
          <w:szCs w:val="24"/>
        </w:rPr>
        <w:t>Србије а које ће бити у смислу растерећења привреде, односно смањења појединих јавних прихода.</w:t>
      </w:r>
    </w:p>
    <w:p w:rsidR="00AF2AF1" w:rsidRDefault="00AF2AF1" w:rsidP="00AF2AF1">
      <w:pPr>
        <w:jc w:val="both"/>
        <w:rPr>
          <w:sz w:val="24"/>
          <w:szCs w:val="24"/>
        </w:rPr>
      </w:pPr>
    </w:p>
    <w:p w:rsidR="00AF2AF1" w:rsidRPr="00EC6413" w:rsidRDefault="00AF2AF1" w:rsidP="00AF2AF1">
      <w:pPr>
        <w:jc w:val="both"/>
        <w:rPr>
          <w:b/>
          <w:sz w:val="24"/>
          <w:szCs w:val="24"/>
        </w:rPr>
      </w:pPr>
      <w:r w:rsidRPr="00EC6413">
        <w:rPr>
          <w:b/>
          <w:sz w:val="24"/>
          <w:szCs w:val="24"/>
        </w:rPr>
        <w:t xml:space="preserve">Група конта 41 </w:t>
      </w:r>
      <w:r w:rsidR="00EC6413" w:rsidRPr="00EC6413">
        <w:rPr>
          <w:b/>
          <w:sz w:val="24"/>
          <w:szCs w:val="24"/>
        </w:rPr>
        <w:t>–Расходи за запоселне</w:t>
      </w:r>
    </w:p>
    <w:p w:rsidR="00410F3B" w:rsidRPr="00F507AD" w:rsidRDefault="00410F3B" w:rsidP="00410F3B">
      <w:pPr>
        <w:jc w:val="both"/>
        <w:rPr>
          <w:sz w:val="24"/>
          <w:szCs w:val="24"/>
        </w:rPr>
      </w:pPr>
    </w:p>
    <w:p w:rsidR="00410F3B" w:rsidRPr="00EC6413" w:rsidRDefault="00EC6413" w:rsidP="00410F3B">
      <w:pPr>
        <w:jc w:val="both"/>
        <w:rPr>
          <w:b/>
          <w:sz w:val="24"/>
          <w:szCs w:val="24"/>
        </w:rPr>
      </w:pPr>
      <w:r w:rsidRPr="00EC6413">
        <w:rPr>
          <w:b/>
          <w:sz w:val="24"/>
          <w:szCs w:val="24"/>
        </w:rPr>
        <w:t>1.</w:t>
      </w:r>
      <w:r w:rsidR="00410F3B" w:rsidRPr="00EC6413">
        <w:rPr>
          <w:b/>
          <w:sz w:val="24"/>
          <w:szCs w:val="24"/>
        </w:rPr>
        <w:t>Планирање масе сред</w:t>
      </w:r>
      <w:r w:rsidR="003409D0">
        <w:rPr>
          <w:b/>
          <w:sz w:val="24"/>
          <w:szCs w:val="24"/>
        </w:rPr>
        <w:t>става за плате запослених у 201</w:t>
      </w:r>
      <w:r w:rsidR="003409D0">
        <w:rPr>
          <w:b/>
          <w:sz w:val="24"/>
          <w:szCs w:val="24"/>
          <w:lang/>
        </w:rPr>
        <w:t>9</w:t>
      </w:r>
      <w:r w:rsidR="00410F3B" w:rsidRPr="00EC6413">
        <w:rPr>
          <w:b/>
          <w:sz w:val="24"/>
          <w:szCs w:val="24"/>
        </w:rPr>
        <w:t xml:space="preserve">. </w:t>
      </w:r>
      <w:r w:rsidR="007332FC">
        <w:rPr>
          <w:b/>
          <w:sz w:val="24"/>
          <w:szCs w:val="24"/>
        </w:rPr>
        <w:t>г</w:t>
      </w:r>
      <w:r w:rsidR="00410F3B" w:rsidRPr="00EC6413">
        <w:rPr>
          <w:b/>
          <w:sz w:val="24"/>
          <w:szCs w:val="24"/>
        </w:rPr>
        <w:t>одини</w:t>
      </w:r>
    </w:p>
    <w:p w:rsidR="00410F3B" w:rsidRPr="00410F3B" w:rsidRDefault="00410F3B" w:rsidP="00410F3B">
      <w:pPr>
        <w:jc w:val="both"/>
        <w:rPr>
          <w:sz w:val="24"/>
          <w:szCs w:val="24"/>
        </w:rPr>
      </w:pPr>
    </w:p>
    <w:p w:rsidR="007332FC" w:rsidRDefault="005042C0" w:rsidP="00AF2AF1">
      <w:pPr>
        <w:ind w:firstLine="720"/>
        <w:jc w:val="both"/>
        <w:rPr>
          <w:sz w:val="24"/>
          <w:szCs w:val="24"/>
        </w:rPr>
      </w:pPr>
      <w:r>
        <w:rPr>
          <w:sz w:val="24"/>
          <w:szCs w:val="24"/>
        </w:rPr>
        <w:t>Износ средстава по</w:t>
      </w:r>
      <w:r w:rsidR="00634EF4">
        <w:rPr>
          <w:sz w:val="24"/>
          <w:szCs w:val="24"/>
        </w:rPr>
        <w:t>требан за исплату плат</w:t>
      </w:r>
      <w:r>
        <w:rPr>
          <w:sz w:val="24"/>
          <w:szCs w:val="24"/>
        </w:rPr>
        <w:t>а планира се на нивоу постојеће</w:t>
      </w:r>
      <w:r w:rsidR="00634EF4">
        <w:rPr>
          <w:sz w:val="24"/>
          <w:szCs w:val="24"/>
        </w:rPr>
        <w:t>г броја извршилаца, а који не може да буде већи од броја утврђеног Одлуком о максималном броју запослених на неодређено време у систему државних органа,систему јавних служби,систему Аутономне  покрајине војводине и си</w:t>
      </w:r>
      <w:r w:rsidR="003409D0">
        <w:rPr>
          <w:sz w:val="24"/>
          <w:szCs w:val="24"/>
        </w:rPr>
        <w:t>стему локалне самоуправе за 201</w:t>
      </w:r>
      <w:r w:rsidR="003409D0">
        <w:rPr>
          <w:sz w:val="24"/>
          <w:szCs w:val="24"/>
          <w:lang/>
        </w:rPr>
        <w:t>8</w:t>
      </w:r>
      <w:r w:rsidR="00634EF4">
        <w:rPr>
          <w:sz w:val="24"/>
          <w:szCs w:val="24"/>
        </w:rPr>
        <w:t>,.годину(С</w:t>
      </w:r>
      <w:r w:rsidR="007332FC">
        <w:rPr>
          <w:sz w:val="24"/>
          <w:szCs w:val="24"/>
        </w:rPr>
        <w:t>лужбени гласник РС“,број 61/17) као и дозвољеног броја</w:t>
      </w:r>
      <w:r w:rsidR="00B575C2">
        <w:rPr>
          <w:sz w:val="24"/>
          <w:szCs w:val="24"/>
        </w:rPr>
        <w:t xml:space="preserve"> </w:t>
      </w:r>
      <w:r w:rsidR="007332FC">
        <w:rPr>
          <w:sz w:val="24"/>
          <w:szCs w:val="24"/>
        </w:rPr>
        <w:t>запослених на</w:t>
      </w:r>
      <w:r w:rsidR="00B575C2">
        <w:rPr>
          <w:sz w:val="24"/>
          <w:szCs w:val="24"/>
        </w:rPr>
        <w:t xml:space="preserve"> </w:t>
      </w:r>
      <w:r w:rsidR="007332FC">
        <w:rPr>
          <w:sz w:val="24"/>
          <w:szCs w:val="24"/>
        </w:rPr>
        <w:t>одређено време према утврђеним</w:t>
      </w:r>
      <w:r w:rsidR="00B575C2">
        <w:rPr>
          <w:sz w:val="24"/>
          <w:szCs w:val="24"/>
        </w:rPr>
        <w:t xml:space="preserve"> </w:t>
      </w:r>
      <w:r w:rsidR="007332FC">
        <w:rPr>
          <w:sz w:val="24"/>
          <w:szCs w:val="24"/>
        </w:rPr>
        <w:t>коефицијентима и важећој основици за обрачун плате.</w:t>
      </w:r>
    </w:p>
    <w:p w:rsidR="00410F3B" w:rsidRPr="00410F3B" w:rsidRDefault="00410F3B" w:rsidP="00AF2AF1">
      <w:pPr>
        <w:ind w:firstLine="720"/>
        <w:jc w:val="both"/>
        <w:rPr>
          <w:sz w:val="24"/>
          <w:szCs w:val="24"/>
        </w:rPr>
      </w:pPr>
      <w:r w:rsidRPr="00410F3B">
        <w:rPr>
          <w:sz w:val="24"/>
          <w:szCs w:val="24"/>
        </w:rPr>
        <w:t>Приликом обрачуна и исплате плата за запослене у предшколским установама и другим јавним службама (установе културе)  примењује се Уредба о коефицијентима за обрачун и исплату плата запослених у јавним службама („Службени гласник РС", бр. 44/01...58/14).</w:t>
      </w:r>
    </w:p>
    <w:p w:rsidR="0020349E" w:rsidRPr="00F507AD" w:rsidRDefault="00410F3B" w:rsidP="00F507AD">
      <w:pPr>
        <w:ind w:firstLine="720"/>
        <w:jc w:val="both"/>
        <w:rPr>
          <w:sz w:val="24"/>
          <w:szCs w:val="24"/>
        </w:rPr>
      </w:pPr>
      <w:r w:rsidRPr="00410F3B">
        <w:rPr>
          <w:sz w:val="24"/>
          <w:szCs w:val="24"/>
        </w:rPr>
        <w:t>Приликом обрачуна и исплате плата примењују се основице према закључцима Владе Републике Србије.</w:t>
      </w:r>
    </w:p>
    <w:p w:rsidR="00B575C2" w:rsidRPr="00562CA4" w:rsidRDefault="00B575C2" w:rsidP="00410F3B">
      <w:pPr>
        <w:jc w:val="both"/>
        <w:rPr>
          <w:b/>
          <w:sz w:val="24"/>
          <w:szCs w:val="24"/>
        </w:rPr>
      </w:pPr>
    </w:p>
    <w:p w:rsidR="00410F3B" w:rsidRDefault="00410F3B" w:rsidP="00410F3B">
      <w:pPr>
        <w:jc w:val="both"/>
        <w:rPr>
          <w:b/>
          <w:sz w:val="24"/>
          <w:szCs w:val="24"/>
        </w:rPr>
      </w:pPr>
      <w:r w:rsidRPr="00410F3B">
        <w:rPr>
          <w:b/>
          <w:sz w:val="24"/>
          <w:szCs w:val="24"/>
        </w:rPr>
        <w:t>2. Законом уређена основица за обрачун плата</w:t>
      </w:r>
    </w:p>
    <w:p w:rsidR="00B575C2" w:rsidRPr="00B575C2" w:rsidRDefault="00B575C2" w:rsidP="00410F3B">
      <w:pPr>
        <w:jc w:val="both"/>
        <w:rPr>
          <w:b/>
          <w:sz w:val="24"/>
          <w:szCs w:val="24"/>
        </w:rPr>
      </w:pPr>
    </w:p>
    <w:p w:rsidR="00410F3B" w:rsidRPr="00410F3B" w:rsidRDefault="00410F3B" w:rsidP="00410F3B">
      <w:pPr>
        <w:jc w:val="both"/>
        <w:rPr>
          <w:sz w:val="24"/>
          <w:szCs w:val="24"/>
        </w:rPr>
      </w:pPr>
    </w:p>
    <w:p w:rsidR="00410F3B" w:rsidRPr="00410F3B" w:rsidRDefault="00410F3B" w:rsidP="00AF2AF1">
      <w:pPr>
        <w:ind w:firstLine="720"/>
        <w:jc w:val="both"/>
        <w:rPr>
          <w:sz w:val="24"/>
          <w:szCs w:val="24"/>
        </w:rPr>
      </w:pPr>
      <w:r w:rsidRPr="00410F3B">
        <w:rPr>
          <w:sz w:val="24"/>
          <w:szCs w:val="24"/>
        </w:rPr>
        <w:t>И током 201</w:t>
      </w:r>
      <w:r w:rsidR="003409D0">
        <w:rPr>
          <w:sz w:val="24"/>
          <w:szCs w:val="24"/>
          <w:lang/>
        </w:rPr>
        <w:t>9</w:t>
      </w:r>
      <w:r w:rsidRPr="00410F3B">
        <w:rPr>
          <w:sz w:val="24"/>
          <w:szCs w:val="24"/>
        </w:rPr>
        <w:t xml:space="preserve">. године примењују се одредбе Закона о привременом уређивању основица за обрачун и исплату плата, односно зарада и других сталних примања код корисника јавних средстава (у даљем тексту: Закон), који је објављен у „Службеном </w:t>
      </w:r>
      <w:r w:rsidRPr="00410F3B">
        <w:rPr>
          <w:sz w:val="24"/>
          <w:szCs w:val="24"/>
        </w:rPr>
        <w:lastRenderedPageBreak/>
        <w:t>гласнику РС", број 116/14 од 27. октобра 2014. године. У складу са чланом 5. став 1. Закона, основица за обрачун и исплату плата код корисника јавних средстава, утврђена законом, другим прописом или другим општим или појединачним актом, који је у примени на дан доношења овог закона, умањује се за 10%.</w:t>
      </w:r>
    </w:p>
    <w:p w:rsidR="007332FC" w:rsidRPr="00562CA4" w:rsidRDefault="00410F3B" w:rsidP="00562CA4">
      <w:pPr>
        <w:ind w:firstLine="720"/>
        <w:jc w:val="both"/>
        <w:rPr>
          <w:sz w:val="24"/>
          <w:szCs w:val="24"/>
        </w:rPr>
      </w:pPr>
      <w:r w:rsidRPr="00410F3B">
        <w:rPr>
          <w:sz w:val="24"/>
          <w:szCs w:val="24"/>
        </w:rPr>
        <w:t>Према члану 7. Закона, директни и индиректни корисници буџетских средстава локалне власти, којима се умањује планирани износ средстава за плате, дужни су да у року од три дана од дана извршене коначне исплате плата за одређени месец на рачун прописан за уплату јавних прихода Републике Србије уплате разлику између укупног износа плата обрачунатих применом основице која није умањена, у складу са одредбама наведеног закона са урачунатим доприносима, који се исплаћују на терет послодавца и укупног износа плата обрачунатих применом умањене основице у смислу овог закона са урачунатим доприносима, који се такође</w:t>
      </w:r>
      <w:r w:rsidR="00562CA4">
        <w:rPr>
          <w:sz w:val="24"/>
          <w:szCs w:val="24"/>
        </w:rPr>
        <w:t xml:space="preserve"> исплаћују на терет послодавца.</w:t>
      </w:r>
    </w:p>
    <w:p w:rsidR="007332FC" w:rsidRPr="00562CA4" w:rsidRDefault="007332FC" w:rsidP="00562CA4">
      <w:pPr>
        <w:ind w:firstLine="720"/>
        <w:jc w:val="both"/>
        <w:rPr>
          <w:sz w:val="24"/>
          <w:szCs w:val="24"/>
        </w:rPr>
      </w:pPr>
      <w:r>
        <w:rPr>
          <w:sz w:val="24"/>
          <w:szCs w:val="24"/>
        </w:rPr>
        <w:t>У оквиру осталих расхода са</w:t>
      </w:r>
      <w:r w:rsidR="003409D0">
        <w:rPr>
          <w:sz w:val="24"/>
          <w:szCs w:val="24"/>
          <w:lang/>
        </w:rPr>
        <w:t xml:space="preserve"> </w:t>
      </w:r>
      <w:r>
        <w:rPr>
          <w:sz w:val="24"/>
          <w:szCs w:val="24"/>
        </w:rPr>
        <w:t>групе конта</w:t>
      </w:r>
      <w:r w:rsidR="009B26D6">
        <w:rPr>
          <w:sz w:val="24"/>
          <w:szCs w:val="24"/>
        </w:rPr>
        <w:t xml:space="preserve"> </w:t>
      </w:r>
      <w:r>
        <w:rPr>
          <w:sz w:val="24"/>
          <w:szCs w:val="24"/>
        </w:rPr>
        <w:t xml:space="preserve">41 не могу се планирати исплате награда и бонуса </w:t>
      </w:r>
      <w:r w:rsidR="00D01496">
        <w:rPr>
          <w:sz w:val="24"/>
          <w:szCs w:val="24"/>
        </w:rPr>
        <w:t>предвиђених посебним и појединачним колективним уговорима осим јубиларних награда за запослене кој</w:t>
      </w:r>
      <w:r w:rsidR="003409D0">
        <w:rPr>
          <w:sz w:val="24"/>
          <w:szCs w:val="24"/>
        </w:rPr>
        <w:t>и то право стичу у 201</w:t>
      </w:r>
      <w:r w:rsidR="003409D0">
        <w:rPr>
          <w:sz w:val="24"/>
          <w:szCs w:val="24"/>
          <w:lang/>
        </w:rPr>
        <w:t>9</w:t>
      </w:r>
      <w:r w:rsidR="00562CA4">
        <w:rPr>
          <w:sz w:val="24"/>
          <w:szCs w:val="24"/>
        </w:rPr>
        <w:t>.години.</w:t>
      </w:r>
    </w:p>
    <w:p w:rsidR="003326CC" w:rsidRDefault="007332FC" w:rsidP="007332FC">
      <w:pPr>
        <w:ind w:firstLine="720"/>
        <w:jc w:val="both"/>
        <w:rPr>
          <w:sz w:val="24"/>
          <w:szCs w:val="24"/>
        </w:rPr>
      </w:pPr>
      <w:r>
        <w:rPr>
          <w:sz w:val="24"/>
          <w:szCs w:val="24"/>
        </w:rPr>
        <w:t>Износ средстава потребних за социјална давања запосленима (ек.класификација 414) односе</w:t>
      </w:r>
      <w:r w:rsidR="008C63AF">
        <w:rPr>
          <w:sz w:val="24"/>
          <w:szCs w:val="24"/>
        </w:rPr>
        <w:t xml:space="preserve"> </w:t>
      </w:r>
      <w:r>
        <w:rPr>
          <w:sz w:val="24"/>
          <w:szCs w:val="24"/>
        </w:rPr>
        <w:t>се</w:t>
      </w:r>
      <w:r w:rsidR="008C63AF">
        <w:rPr>
          <w:sz w:val="24"/>
          <w:szCs w:val="24"/>
        </w:rPr>
        <w:t xml:space="preserve"> </w:t>
      </w:r>
      <w:r>
        <w:rPr>
          <w:sz w:val="24"/>
          <w:szCs w:val="24"/>
        </w:rPr>
        <w:t>на исплату накнада</w:t>
      </w:r>
      <w:r w:rsidR="008C63AF">
        <w:rPr>
          <w:sz w:val="24"/>
          <w:szCs w:val="24"/>
        </w:rPr>
        <w:t xml:space="preserve"> </w:t>
      </w:r>
      <w:r>
        <w:rPr>
          <w:sz w:val="24"/>
          <w:szCs w:val="24"/>
        </w:rPr>
        <w:t>за одсуствовање са боловања (боловање преко 30 дана) и исплату отпремнина.  За с</w:t>
      </w:r>
      <w:r w:rsidR="003326CC">
        <w:rPr>
          <w:sz w:val="24"/>
          <w:szCs w:val="24"/>
        </w:rPr>
        <w:t>редства која су потребна за исплату отпремнина за редован одлазак  у пензију потребно је навести планира</w:t>
      </w:r>
      <w:r w:rsidR="003409D0">
        <w:rPr>
          <w:sz w:val="24"/>
          <w:szCs w:val="24"/>
        </w:rPr>
        <w:t>н број запослених који ће у 201</w:t>
      </w:r>
      <w:r w:rsidR="003409D0">
        <w:rPr>
          <w:sz w:val="24"/>
          <w:szCs w:val="24"/>
          <w:lang/>
        </w:rPr>
        <w:t>9</w:t>
      </w:r>
      <w:r w:rsidR="003326CC">
        <w:rPr>
          <w:sz w:val="24"/>
          <w:szCs w:val="24"/>
        </w:rPr>
        <w:t>.години остварити право на отпремнине</w:t>
      </w:r>
      <w:r w:rsidR="00454F68">
        <w:rPr>
          <w:sz w:val="24"/>
          <w:szCs w:val="24"/>
        </w:rPr>
        <w:t xml:space="preserve"> (доставити списак запослених и потребан број средстава)</w:t>
      </w:r>
      <w:r w:rsidR="003326CC">
        <w:rPr>
          <w:sz w:val="24"/>
          <w:szCs w:val="24"/>
        </w:rPr>
        <w:t>.</w:t>
      </w:r>
      <w:r>
        <w:rPr>
          <w:sz w:val="24"/>
          <w:szCs w:val="24"/>
        </w:rPr>
        <w:t xml:space="preserve"> </w:t>
      </w:r>
      <w:r w:rsidR="00D01496">
        <w:rPr>
          <w:sz w:val="24"/>
          <w:szCs w:val="24"/>
        </w:rPr>
        <w:t>За с</w:t>
      </w:r>
      <w:r w:rsidR="003326CC" w:rsidRPr="003326CC">
        <w:rPr>
          <w:sz w:val="24"/>
          <w:szCs w:val="24"/>
        </w:rPr>
        <w:t xml:space="preserve">редства која су потребна за исплату </w:t>
      </w:r>
      <w:r w:rsidR="00D01496">
        <w:rPr>
          <w:sz w:val="24"/>
          <w:szCs w:val="24"/>
        </w:rPr>
        <w:t>јубиларних награда</w:t>
      </w:r>
      <w:r>
        <w:rPr>
          <w:sz w:val="24"/>
          <w:szCs w:val="24"/>
        </w:rPr>
        <w:t xml:space="preserve"> </w:t>
      </w:r>
      <w:r w:rsidR="00D01496">
        <w:rPr>
          <w:sz w:val="24"/>
          <w:szCs w:val="24"/>
        </w:rPr>
        <w:t xml:space="preserve">потребно је </w:t>
      </w:r>
      <w:r w:rsidR="003326CC" w:rsidRPr="003326CC">
        <w:rPr>
          <w:sz w:val="24"/>
          <w:szCs w:val="24"/>
        </w:rPr>
        <w:t xml:space="preserve"> навести планира</w:t>
      </w:r>
      <w:r w:rsidR="003409D0">
        <w:rPr>
          <w:sz w:val="24"/>
          <w:szCs w:val="24"/>
        </w:rPr>
        <w:t>н број запослених који ће у 201</w:t>
      </w:r>
      <w:r w:rsidR="003409D0">
        <w:rPr>
          <w:sz w:val="24"/>
          <w:szCs w:val="24"/>
          <w:lang/>
        </w:rPr>
        <w:t>9</w:t>
      </w:r>
      <w:r w:rsidR="003326CC" w:rsidRPr="003326CC">
        <w:rPr>
          <w:sz w:val="24"/>
          <w:szCs w:val="24"/>
        </w:rPr>
        <w:t xml:space="preserve">.години остварити право на </w:t>
      </w:r>
      <w:r w:rsidR="00D01496">
        <w:rPr>
          <w:sz w:val="24"/>
          <w:szCs w:val="24"/>
        </w:rPr>
        <w:t>јубиларне награде</w:t>
      </w:r>
      <w:r>
        <w:rPr>
          <w:sz w:val="24"/>
          <w:szCs w:val="24"/>
        </w:rPr>
        <w:t xml:space="preserve"> и потребан износ средстава</w:t>
      </w:r>
      <w:r w:rsidR="00D01496">
        <w:rPr>
          <w:sz w:val="24"/>
          <w:szCs w:val="24"/>
        </w:rPr>
        <w:t>.</w:t>
      </w:r>
    </w:p>
    <w:p w:rsidR="00D01496" w:rsidRPr="00C627FB" w:rsidRDefault="00D01496" w:rsidP="00410F3B">
      <w:pPr>
        <w:jc w:val="both"/>
        <w:rPr>
          <w:sz w:val="24"/>
          <w:szCs w:val="24"/>
        </w:rPr>
      </w:pPr>
    </w:p>
    <w:p w:rsidR="0020349E" w:rsidRPr="0020349E" w:rsidRDefault="00410F3B" w:rsidP="00410F3B">
      <w:pPr>
        <w:jc w:val="both"/>
        <w:rPr>
          <w:b/>
          <w:sz w:val="24"/>
          <w:szCs w:val="24"/>
        </w:rPr>
      </w:pPr>
      <w:r w:rsidRPr="00410F3B">
        <w:rPr>
          <w:b/>
          <w:sz w:val="24"/>
          <w:szCs w:val="24"/>
        </w:rPr>
        <w:t>Група конта 42 – Коришћење услуга и роба</w:t>
      </w:r>
    </w:p>
    <w:p w:rsidR="00410F3B" w:rsidRPr="00410F3B" w:rsidRDefault="00410F3B" w:rsidP="00410F3B">
      <w:pPr>
        <w:jc w:val="both"/>
        <w:rPr>
          <w:sz w:val="24"/>
          <w:szCs w:val="24"/>
        </w:rPr>
      </w:pPr>
    </w:p>
    <w:p w:rsidR="00410F3B" w:rsidRPr="00FE2AC3" w:rsidRDefault="00410F3B" w:rsidP="00562CA4">
      <w:pPr>
        <w:ind w:firstLine="720"/>
        <w:jc w:val="both"/>
        <w:rPr>
          <w:rFonts w:eastAsia="Times New Roman"/>
          <w:sz w:val="24"/>
          <w:szCs w:val="24"/>
          <w:lang w:eastAsia="en-US"/>
        </w:rPr>
      </w:pPr>
      <w:r w:rsidRPr="00410F3B">
        <w:rPr>
          <w:sz w:val="24"/>
          <w:szCs w:val="24"/>
        </w:rPr>
        <w:t xml:space="preserve">У оквиру групе конта </w:t>
      </w:r>
      <w:r w:rsidR="007332FC">
        <w:rPr>
          <w:sz w:val="24"/>
          <w:szCs w:val="24"/>
        </w:rPr>
        <w:t xml:space="preserve">42 </w:t>
      </w:r>
      <w:r w:rsidRPr="00410F3B">
        <w:rPr>
          <w:sz w:val="24"/>
          <w:szCs w:val="24"/>
        </w:rPr>
        <w:t xml:space="preserve">која се односе на куповину роба и услуга, потребно је максимално сагледати уштеде </w:t>
      </w:r>
      <w:r w:rsidR="007332FC">
        <w:rPr>
          <w:sz w:val="24"/>
          <w:szCs w:val="24"/>
        </w:rPr>
        <w:t xml:space="preserve">посебно у оквиру економске </w:t>
      </w:r>
      <w:r w:rsidRPr="00410F3B">
        <w:rPr>
          <w:sz w:val="24"/>
          <w:szCs w:val="24"/>
        </w:rPr>
        <w:t xml:space="preserve"> класификације 422-трошкови путовања, 423-услуге по уговору и 424-специјализован</w:t>
      </w:r>
      <w:r w:rsidR="007332FC">
        <w:rPr>
          <w:sz w:val="24"/>
          <w:szCs w:val="24"/>
        </w:rPr>
        <w:t>е услуге а приоритет дати  извршавању</w:t>
      </w:r>
      <w:r w:rsidRPr="00410F3B">
        <w:rPr>
          <w:sz w:val="24"/>
          <w:szCs w:val="24"/>
        </w:rPr>
        <w:t xml:space="preserve"> расхода на име сталних трошкова (421 – Стални трошкови).</w:t>
      </w:r>
      <w:r w:rsidR="007332FC">
        <w:rPr>
          <w:sz w:val="24"/>
          <w:szCs w:val="24"/>
        </w:rPr>
        <w:t xml:space="preserve"> </w:t>
      </w:r>
      <w:r w:rsidR="00D01496">
        <w:rPr>
          <w:sz w:val="24"/>
          <w:szCs w:val="24"/>
        </w:rPr>
        <w:t>Износ средстава за сталне трошкове планира се на основу шестомесеч</w:t>
      </w:r>
      <w:r w:rsidR="003409D0">
        <w:rPr>
          <w:sz w:val="24"/>
          <w:szCs w:val="24"/>
        </w:rPr>
        <w:t>ног извршења ових расхода у 201</w:t>
      </w:r>
      <w:r w:rsidR="003409D0">
        <w:rPr>
          <w:sz w:val="24"/>
          <w:szCs w:val="24"/>
          <w:lang/>
        </w:rPr>
        <w:t>8</w:t>
      </w:r>
      <w:r w:rsidR="00D01496">
        <w:rPr>
          <w:sz w:val="24"/>
          <w:szCs w:val="24"/>
        </w:rPr>
        <w:t xml:space="preserve">.години и очекиваног нивоа сталних трошкова до краја године увећан за пројектовану инфлацију </w:t>
      </w:r>
      <w:r w:rsidR="003409D0">
        <w:rPr>
          <w:sz w:val="24"/>
          <w:szCs w:val="24"/>
        </w:rPr>
        <w:t>у 201</w:t>
      </w:r>
      <w:r w:rsidR="003409D0">
        <w:rPr>
          <w:sz w:val="24"/>
          <w:szCs w:val="24"/>
          <w:lang/>
        </w:rPr>
        <w:t>9</w:t>
      </w:r>
      <w:r w:rsidR="00D01496" w:rsidRPr="00C9325F">
        <w:rPr>
          <w:sz w:val="24"/>
          <w:szCs w:val="24"/>
        </w:rPr>
        <w:t>.години</w:t>
      </w:r>
      <w:r w:rsidR="00FE2AC3">
        <w:rPr>
          <w:color w:val="FF0000"/>
          <w:sz w:val="24"/>
          <w:szCs w:val="24"/>
        </w:rPr>
        <w:t>.</w:t>
      </w:r>
    </w:p>
    <w:p w:rsidR="000064EF" w:rsidRDefault="000064EF" w:rsidP="00D01496">
      <w:pPr>
        <w:ind w:firstLine="720"/>
        <w:jc w:val="both"/>
        <w:rPr>
          <w:sz w:val="24"/>
          <w:szCs w:val="24"/>
        </w:rPr>
      </w:pPr>
      <w:r>
        <w:rPr>
          <w:sz w:val="23"/>
          <w:szCs w:val="23"/>
        </w:rPr>
        <w:t>У циљу економичног и ефикасног управљања јавним средствима</w:t>
      </w:r>
      <w:r w:rsidR="0030416D" w:rsidRPr="0030416D">
        <w:rPr>
          <w:sz w:val="23"/>
          <w:szCs w:val="23"/>
        </w:rPr>
        <w:t xml:space="preserve"> </w:t>
      </w:r>
      <w:r w:rsidR="0030416D">
        <w:rPr>
          <w:sz w:val="23"/>
          <w:szCs w:val="23"/>
        </w:rPr>
        <w:t>а полазећи од Извештаја о ревизији сврсисходности- Оправданост формирања комисија и других сталних и привремених радних тела у јавном сектору,</w:t>
      </w:r>
      <w:r>
        <w:rPr>
          <w:sz w:val="23"/>
          <w:szCs w:val="23"/>
        </w:rPr>
        <w:t xml:space="preserve"> неопходно је да се преиспита оправданост формираних комисија и других радних тела, као и потреба оснивања нових, осим оних предвиђених законом.</w:t>
      </w:r>
    </w:p>
    <w:p w:rsidR="007144D3" w:rsidRDefault="007144D3" w:rsidP="00D01496">
      <w:pPr>
        <w:ind w:firstLine="720"/>
        <w:jc w:val="both"/>
        <w:rPr>
          <w:sz w:val="24"/>
          <w:szCs w:val="24"/>
        </w:rPr>
      </w:pPr>
      <w:r>
        <w:rPr>
          <w:sz w:val="24"/>
          <w:szCs w:val="24"/>
        </w:rPr>
        <w:t>Угоститељске услуге и трошкове репрезентације (ек.класификација 423) планирати уз максималну уштеду.</w:t>
      </w:r>
    </w:p>
    <w:p w:rsidR="007144D3" w:rsidRDefault="007144D3" w:rsidP="00D01496">
      <w:pPr>
        <w:ind w:firstLine="720"/>
        <w:jc w:val="both"/>
        <w:rPr>
          <w:sz w:val="24"/>
          <w:szCs w:val="24"/>
        </w:rPr>
      </w:pPr>
      <w:r>
        <w:rPr>
          <w:sz w:val="24"/>
          <w:szCs w:val="24"/>
        </w:rPr>
        <w:t>Средства за текуће одржавање опреме и објеката (ек.класификација 425) планирају се по приоритетима.</w:t>
      </w:r>
    </w:p>
    <w:p w:rsidR="005042C0" w:rsidRDefault="005042C0" w:rsidP="00410F3B">
      <w:pPr>
        <w:jc w:val="both"/>
        <w:rPr>
          <w:b/>
          <w:sz w:val="24"/>
          <w:szCs w:val="24"/>
        </w:rPr>
      </w:pPr>
    </w:p>
    <w:p w:rsidR="00410F3B" w:rsidRPr="00410F3B" w:rsidRDefault="00410F3B" w:rsidP="00410F3B">
      <w:pPr>
        <w:jc w:val="both"/>
        <w:rPr>
          <w:b/>
          <w:sz w:val="24"/>
          <w:szCs w:val="24"/>
        </w:rPr>
      </w:pPr>
      <w:r w:rsidRPr="00410F3B">
        <w:rPr>
          <w:b/>
          <w:sz w:val="24"/>
          <w:szCs w:val="24"/>
        </w:rPr>
        <w:t>Група конта 45 - Субвенције и група конта 62 - Набавка финансијске имовине</w:t>
      </w:r>
    </w:p>
    <w:p w:rsidR="00410F3B" w:rsidRPr="00410F3B" w:rsidRDefault="00410F3B" w:rsidP="00410F3B">
      <w:pPr>
        <w:jc w:val="both"/>
        <w:rPr>
          <w:sz w:val="24"/>
          <w:szCs w:val="24"/>
        </w:rPr>
      </w:pPr>
    </w:p>
    <w:p w:rsidR="00410F3B" w:rsidRPr="00410F3B" w:rsidRDefault="00410F3B" w:rsidP="002B786B">
      <w:pPr>
        <w:ind w:firstLine="720"/>
        <w:jc w:val="both"/>
        <w:rPr>
          <w:sz w:val="24"/>
          <w:szCs w:val="24"/>
        </w:rPr>
      </w:pPr>
      <w:r w:rsidRPr="00410F3B">
        <w:rPr>
          <w:sz w:val="24"/>
          <w:szCs w:val="24"/>
        </w:rPr>
        <w:t>У оквиру субвенција и буџетских кредита неопходно је преиспитати све програме по основу којих се додељују субвенције и буџетски кредити, с обзиром на то да даље мере фискалне консолидације подразумевају рационално коришћење средстава субвенција и буџетских кредита.</w:t>
      </w:r>
    </w:p>
    <w:p w:rsidR="00410F3B" w:rsidRDefault="00410F3B" w:rsidP="002B786B">
      <w:pPr>
        <w:ind w:firstLine="720"/>
        <w:jc w:val="both"/>
        <w:rPr>
          <w:sz w:val="24"/>
          <w:szCs w:val="24"/>
        </w:rPr>
      </w:pPr>
      <w:r w:rsidRPr="00410F3B">
        <w:rPr>
          <w:sz w:val="24"/>
          <w:szCs w:val="24"/>
        </w:rPr>
        <w:t>Приликом планирања средстава за субвенције и њихових намена посебно треба имати у виду све прописе који се тичу контроле државне помоћи.</w:t>
      </w:r>
    </w:p>
    <w:p w:rsidR="007144D3" w:rsidRPr="007144D3" w:rsidRDefault="003409D0" w:rsidP="002B786B">
      <w:pPr>
        <w:ind w:firstLine="720"/>
        <w:jc w:val="both"/>
        <w:rPr>
          <w:sz w:val="24"/>
          <w:szCs w:val="24"/>
        </w:rPr>
      </w:pPr>
      <w:r>
        <w:rPr>
          <w:sz w:val="24"/>
          <w:szCs w:val="24"/>
        </w:rPr>
        <w:t>Износ субвенција у 201</w:t>
      </w:r>
      <w:r>
        <w:rPr>
          <w:sz w:val="24"/>
          <w:szCs w:val="24"/>
          <w:lang/>
        </w:rPr>
        <w:t>9</w:t>
      </w:r>
      <w:r w:rsidR="007144D3">
        <w:rPr>
          <w:sz w:val="24"/>
          <w:szCs w:val="24"/>
        </w:rPr>
        <w:t xml:space="preserve">.години треба планирати највише до износа који је </w:t>
      </w:r>
      <w:r>
        <w:rPr>
          <w:sz w:val="24"/>
          <w:szCs w:val="24"/>
        </w:rPr>
        <w:t>опредељен буџетом за текућу 201</w:t>
      </w:r>
      <w:r>
        <w:rPr>
          <w:sz w:val="24"/>
          <w:szCs w:val="24"/>
          <w:lang/>
        </w:rPr>
        <w:t>8</w:t>
      </w:r>
      <w:r w:rsidR="007144D3">
        <w:rPr>
          <w:sz w:val="24"/>
          <w:szCs w:val="24"/>
        </w:rPr>
        <w:t>.годину.</w:t>
      </w:r>
    </w:p>
    <w:p w:rsidR="00410F3B" w:rsidRPr="00410F3B" w:rsidRDefault="00410F3B" w:rsidP="00410F3B">
      <w:pPr>
        <w:jc w:val="both"/>
        <w:rPr>
          <w:sz w:val="24"/>
          <w:szCs w:val="24"/>
        </w:rPr>
      </w:pPr>
    </w:p>
    <w:p w:rsidR="00410F3B" w:rsidRPr="00410F3B" w:rsidRDefault="00410F3B" w:rsidP="00410F3B">
      <w:pPr>
        <w:jc w:val="both"/>
        <w:rPr>
          <w:b/>
          <w:sz w:val="24"/>
          <w:szCs w:val="24"/>
        </w:rPr>
      </w:pPr>
      <w:r w:rsidRPr="00410F3B">
        <w:rPr>
          <w:b/>
          <w:sz w:val="24"/>
          <w:szCs w:val="24"/>
        </w:rPr>
        <w:lastRenderedPageBreak/>
        <w:t>Група конта 48 – Остали расходи</w:t>
      </w:r>
    </w:p>
    <w:p w:rsidR="00410F3B" w:rsidRPr="00410F3B" w:rsidRDefault="00410F3B" w:rsidP="00410F3B">
      <w:pPr>
        <w:jc w:val="both"/>
        <w:rPr>
          <w:sz w:val="24"/>
          <w:szCs w:val="24"/>
        </w:rPr>
      </w:pPr>
    </w:p>
    <w:p w:rsidR="00410F3B" w:rsidRPr="00410F3B" w:rsidRDefault="00410F3B" w:rsidP="002B786B">
      <w:pPr>
        <w:ind w:firstLine="720"/>
        <w:jc w:val="both"/>
        <w:rPr>
          <w:sz w:val="24"/>
          <w:szCs w:val="24"/>
        </w:rPr>
      </w:pPr>
      <w:r w:rsidRPr="00410F3B">
        <w:rPr>
          <w:sz w:val="24"/>
          <w:szCs w:val="24"/>
        </w:rPr>
        <w:t>Остале расходе, такође треба планирати у складу са рестриктивном политиком која се спроводи у циљу одрживог нивоа дефицита. Приликом планирања наведених расхода, треба имати у виду да се услед недовољног износа средстава на економској класификацији 483 – Новчане казне и пенали по решењу судова, иста повећава смањењем осталих економских класификација, на којима је, због наведеног, неопходно прилагодити преузимање обавеза, како би се на тај начин спречило стварање доцњи.</w:t>
      </w:r>
    </w:p>
    <w:p w:rsidR="00410F3B" w:rsidRPr="00410F3B" w:rsidRDefault="00410F3B" w:rsidP="002B786B">
      <w:pPr>
        <w:ind w:firstLine="720"/>
        <w:jc w:val="both"/>
        <w:rPr>
          <w:sz w:val="24"/>
          <w:szCs w:val="24"/>
        </w:rPr>
      </w:pPr>
      <w:r w:rsidRPr="00410F3B">
        <w:rPr>
          <w:sz w:val="24"/>
          <w:szCs w:val="24"/>
        </w:rPr>
        <w:t>Средстава намењена за финансирање редовног рада политичких субјеката, у складу са Законом о финансирању политичких активности.</w:t>
      </w:r>
    </w:p>
    <w:p w:rsidR="00634EF4" w:rsidRDefault="00634EF4" w:rsidP="00410F3B">
      <w:pPr>
        <w:jc w:val="both"/>
        <w:rPr>
          <w:sz w:val="24"/>
          <w:szCs w:val="24"/>
        </w:rPr>
      </w:pPr>
    </w:p>
    <w:p w:rsidR="002B786B" w:rsidRDefault="002B786B" w:rsidP="00410F3B">
      <w:pPr>
        <w:jc w:val="both"/>
        <w:rPr>
          <w:b/>
          <w:sz w:val="24"/>
          <w:szCs w:val="24"/>
        </w:rPr>
      </w:pPr>
    </w:p>
    <w:p w:rsidR="00410F3B" w:rsidRPr="00410F3B" w:rsidRDefault="00410F3B" w:rsidP="00410F3B">
      <w:pPr>
        <w:jc w:val="both"/>
        <w:rPr>
          <w:b/>
          <w:sz w:val="24"/>
          <w:szCs w:val="24"/>
        </w:rPr>
      </w:pPr>
      <w:r w:rsidRPr="00410F3B">
        <w:rPr>
          <w:b/>
          <w:sz w:val="24"/>
          <w:szCs w:val="24"/>
        </w:rPr>
        <w:t>Класа 5 - Издаци за нефинансијску имовину</w:t>
      </w:r>
    </w:p>
    <w:p w:rsidR="00410F3B" w:rsidRPr="00410F3B" w:rsidRDefault="00410F3B" w:rsidP="00410F3B">
      <w:pPr>
        <w:jc w:val="both"/>
        <w:rPr>
          <w:sz w:val="24"/>
          <w:szCs w:val="24"/>
        </w:rPr>
      </w:pPr>
    </w:p>
    <w:p w:rsidR="00410F3B" w:rsidRPr="00410F3B" w:rsidRDefault="00410F3B" w:rsidP="002B786B">
      <w:pPr>
        <w:ind w:firstLine="720"/>
        <w:jc w:val="both"/>
        <w:rPr>
          <w:sz w:val="24"/>
          <w:szCs w:val="24"/>
        </w:rPr>
      </w:pPr>
      <w:r w:rsidRPr="00410F3B">
        <w:rPr>
          <w:sz w:val="24"/>
          <w:szCs w:val="24"/>
        </w:rPr>
        <w:t>Набавке административне, канцеларијске опреме, аутомобила и осталих основних средстава за редован рад потребно је планирати уз максималне уштеде, тако да се само врше набавке средстава неопходних за рад.</w:t>
      </w:r>
    </w:p>
    <w:p w:rsidR="00410F3B" w:rsidRPr="00410F3B" w:rsidRDefault="00410F3B" w:rsidP="002B786B">
      <w:pPr>
        <w:ind w:firstLine="720"/>
        <w:jc w:val="both"/>
        <w:rPr>
          <w:sz w:val="24"/>
          <w:szCs w:val="24"/>
        </w:rPr>
      </w:pPr>
      <w:r w:rsidRPr="00410F3B">
        <w:rPr>
          <w:sz w:val="24"/>
          <w:szCs w:val="24"/>
        </w:rPr>
        <w:t>Важно је да корисници не исказују као капиталне издатке текуће поправке и одржавање зграда, објеката и опреме, већ да расходе за те намене (за молерске, зидарске радове, поправке електронске и електричне опреме итд.) планирају на апропријацији економске класификације 425 – Текуће поправке и одржавање, док средства за капиталне пројекте треба да планирају на контима групе 51, 52 и 54.</w:t>
      </w:r>
    </w:p>
    <w:p w:rsidR="00410F3B" w:rsidRPr="00C627FB" w:rsidRDefault="00410F3B" w:rsidP="00410F3B">
      <w:pPr>
        <w:jc w:val="both"/>
        <w:rPr>
          <w:sz w:val="24"/>
          <w:szCs w:val="24"/>
        </w:rPr>
      </w:pPr>
    </w:p>
    <w:p w:rsidR="00410F3B" w:rsidRPr="006957AD" w:rsidRDefault="006957AD" w:rsidP="00410F3B">
      <w:pPr>
        <w:jc w:val="both"/>
        <w:rPr>
          <w:b/>
          <w:sz w:val="24"/>
          <w:szCs w:val="24"/>
        </w:rPr>
      </w:pPr>
      <w:r>
        <w:rPr>
          <w:b/>
          <w:sz w:val="24"/>
          <w:szCs w:val="24"/>
        </w:rPr>
        <w:t>Планирање ИПА пројекта</w:t>
      </w:r>
    </w:p>
    <w:p w:rsidR="00410F3B" w:rsidRPr="00F507AD" w:rsidRDefault="00410F3B" w:rsidP="00410F3B">
      <w:pPr>
        <w:jc w:val="both"/>
        <w:rPr>
          <w:b/>
          <w:sz w:val="24"/>
          <w:szCs w:val="24"/>
        </w:rPr>
      </w:pPr>
    </w:p>
    <w:p w:rsidR="00410F3B" w:rsidRPr="00410F3B" w:rsidRDefault="00410F3B" w:rsidP="002B786B">
      <w:pPr>
        <w:ind w:firstLine="720"/>
        <w:jc w:val="both"/>
        <w:rPr>
          <w:sz w:val="24"/>
          <w:szCs w:val="24"/>
        </w:rPr>
      </w:pPr>
      <w:r w:rsidRPr="00410F3B">
        <w:rPr>
          <w:sz w:val="24"/>
          <w:szCs w:val="24"/>
        </w:rPr>
        <w:t xml:space="preserve">Један од извора финансирања пројеката на локалном нивоу је и финансијска помоћ Европске уније, у оквиру спровођења помоћи према правилима инструмента претприступне помоћи (ИПА I и </w:t>
      </w:r>
      <w:r w:rsidR="003409D0">
        <w:rPr>
          <w:sz w:val="24"/>
          <w:szCs w:val="24"/>
        </w:rPr>
        <w:t>ИПА II). У оквиру буџета за 201</w:t>
      </w:r>
      <w:r w:rsidR="003409D0">
        <w:rPr>
          <w:sz w:val="24"/>
          <w:szCs w:val="24"/>
          <w:lang/>
        </w:rPr>
        <w:t>9</w:t>
      </w:r>
      <w:r w:rsidRPr="00410F3B">
        <w:rPr>
          <w:sz w:val="24"/>
          <w:szCs w:val="24"/>
        </w:rPr>
        <w:t>.годину планираће се расходи за пројекте који су започети као и расходи за пројекте за који су потписани уговори а реализација тек треба да почне.</w:t>
      </w:r>
    </w:p>
    <w:p w:rsidR="00410F3B" w:rsidRPr="00410F3B" w:rsidRDefault="00410F3B" w:rsidP="00410F3B">
      <w:pPr>
        <w:jc w:val="both"/>
        <w:rPr>
          <w:sz w:val="24"/>
          <w:szCs w:val="24"/>
        </w:rPr>
      </w:pPr>
    </w:p>
    <w:p w:rsidR="00410F3B" w:rsidRPr="00410F3B" w:rsidRDefault="00410F3B" w:rsidP="00410F3B">
      <w:pPr>
        <w:jc w:val="both"/>
        <w:rPr>
          <w:b/>
          <w:sz w:val="24"/>
          <w:szCs w:val="24"/>
        </w:rPr>
      </w:pPr>
      <w:r w:rsidRPr="00410F3B">
        <w:rPr>
          <w:b/>
          <w:sz w:val="24"/>
          <w:szCs w:val="24"/>
        </w:rPr>
        <w:t>Капитални пројекти и њихов значај</w:t>
      </w:r>
    </w:p>
    <w:p w:rsidR="00410F3B" w:rsidRPr="00410F3B" w:rsidRDefault="00410F3B" w:rsidP="00410F3B">
      <w:pPr>
        <w:jc w:val="both"/>
        <w:rPr>
          <w:sz w:val="24"/>
          <w:szCs w:val="24"/>
        </w:rPr>
      </w:pPr>
    </w:p>
    <w:p w:rsidR="00410F3B" w:rsidRPr="00410F3B" w:rsidRDefault="00410F3B" w:rsidP="002B786B">
      <w:pPr>
        <w:ind w:firstLine="720"/>
        <w:jc w:val="both"/>
        <w:rPr>
          <w:sz w:val="24"/>
          <w:szCs w:val="24"/>
        </w:rPr>
      </w:pPr>
      <w:r w:rsidRPr="00410F3B">
        <w:rPr>
          <w:sz w:val="24"/>
          <w:szCs w:val="24"/>
        </w:rPr>
        <w:t>Капитални пројекти су пројекти изградње и капиталног одржавања зграда и грађевинских објеката инфраструктуре од интереса за Републику Србију, односно локалну власт укључујући услуге пројектног планирања које су саставни део пројекта, обезбеђивање земљишта за изградњу, као и пројекти који подразумевају улагања у опрему, машине и другу нефинансијску имовину, а у функцији су јавног интереса.</w:t>
      </w:r>
    </w:p>
    <w:p w:rsidR="00410F3B" w:rsidRPr="00410F3B" w:rsidRDefault="00410F3B" w:rsidP="003409D0">
      <w:pPr>
        <w:ind w:firstLine="720"/>
        <w:jc w:val="both"/>
        <w:rPr>
          <w:sz w:val="24"/>
          <w:szCs w:val="24"/>
        </w:rPr>
      </w:pPr>
      <w:r w:rsidRPr="00410F3B">
        <w:rPr>
          <w:sz w:val="24"/>
          <w:szCs w:val="24"/>
        </w:rPr>
        <w:t>Капиталним пројектима се увећава имовина Републике Србије, односно локалне власти путем изградње и капиталног одржавања грађевинских објеката инфраструктуре и улагања у опрему, машине и другу нефинансијску имовину.</w:t>
      </w:r>
    </w:p>
    <w:p w:rsidR="0020349E" w:rsidRDefault="00410F3B" w:rsidP="00C627FB">
      <w:pPr>
        <w:ind w:firstLine="720"/>
        <w:jc w:val="both"/>
        <w:rPr>
          <w:sz w:val="24"/>
          <w:szCs w:val="24"/>
        </w:rPr>
      </w:pPr>
      <w:r w:rsidRPr="00410F3B">
        <w:rPr>
          <w:sz w:val="24"/>
          <w:szCs w:val="24"/>
        </w:rPr>
        <w:t>У складу са Законом о буџетском систему капитални издаци се исказују за три године у општем делу одлуке о буџету локалне власти, без обзира да ли се капитални пројекти уговарају фазно по годинама или корисник преузима обавезе по уговору који захтева плаћање у више година.</w:t>
      </w:r>
    </w:p>
    <w:p w:rsidR="00F507AD" w:rsidRPr="00F507AD" w:rsidRDefault="00F507AD" w:rsidP="00C627FB">
      <w:pPr>
        <w:ind w:firstLine="720"/>
        <w:jc w:val="both"/>
        <w:rPr>
          <w:sz w:val="24"/>
          <w:szCs w:val="24"/>
        </w:rPr>
      </w:pPr>
    </w:p>
    <w:p w:rsidR="0093205D" w:rsidRDefault="0093205D" w:rsidP="0093205D">
      <w:pPr>
        <w:jc w:val="both"/>
        <w:rPr>
          <w:b/>
          <w:sz w:val="24"/>
          <w:szCs w:val="24"/>
        </w:rPr>
      </w:pPr>
      <w:r w:rsidRPr="0093205D">
        <w:rPr>
          <w:b/>
          <w:sz w:val="24"/>
          <w:szCs w:val="24"/>
        </w:rPr>
        <w:t>Планирање издатака капиталног пројекта</w:t>
      </w:r>
    </w:p>
    <w:p w:rsidR="0093205D" w:rsidRPr="00F507AD" w:rsidRDefault="0093205D" w:rsidP="0093205D">
      <w:pPr>
        <w:jc w:val="both"/>
        <w:rPr>
          <w:sz w:val="24"/>
          <w:szCs w:val="24"/>
        </w:rPr>
      </w:pPr>
    </w:p>
    <w:p w:rsidR="0093205D" w:rsidRPr="0093205D" w:rsidRDefault="0093205D" w:rsidP="0093205D">
      <w:pPr>
        <w:ind w:firstLine="720"/>
        <w:jc w:val="both"/>
        <w:rPr>
          <w:sz w:val="24"/>
          <w:szCs w:val="24"/>
        </w:rPr>
      </w:pPr>
      <w:r w:rsidRPr="0093205D">
        <w:rPr>
          <w:sz w:val="24"/>
          <w:szCs w:val="24"/>
        </w:rPr>
        <w:t xml:space="preserve">Ради ефикаснијег планирања и припреме, поступајући у складу са законским одредбама, корисници буџетских средстава дужни су да органу надлежном за послове финансија доставе планиране капиталне пројекте за буџетску и наредне две године, приказане у табели (Табеле 2. и 2а. Преглед капиталних пројеката који се даје у Прилогу). У наведеним табелама, корисници су у обавези да искажу планиране издатке </w:t>
      </w:r>
      <w:r w:rsidRPr="0093205D">
        <w:rPr>
          <w:sz w:val="24"/>
          <w:szCs w:val="24"/>
        </w:rPr>
        <w:lastRenderedPageBreak/>
        <w:t>за капиталне пројекте по годинама који се односе на изградњу и капитално одржавање, по контима на трећем и четвртом нивоу, и то:</w:t>
      </w:r>
    </w:p>
    <w:p w:rsidR="0093205D" w:rsidRPr="0093205D" w:rsidRDefault="0093205D" w:rsidP="0093205D">
      <w:pPr>
        <w:jc w:val="both"/>
        <w:rPr>
          <w:sz w:val="24"/>
          <w:szCs w:val="24"/>
        </w:rPr>
      </w:pPr>
    </w:p>
    <w:p w:rsidR="0093205D" w:rsidRPr="0093205D" w:rsidRDefault="0093205D" w:rsidP="0093205D">
      <w:pPr>
        <w:jc w:val="both"/>
        <w:rPr>
          <w:sz w:val="24"/>
          <w:szCs w:val="24"/>
        </w:rPr>
      </w:pPr>
      <w:r w:rsidRPr="0093205D">
        <w:rPr>
          <w:sz w:val="24"/>
          <w:szCs w:val="24"/>
        </w:rPr>
        <w:t>1)</w:t>
      </w:r>
      <w:r w:rsidRPr="0093205D">
        <w:rPr>
          <w:sz w:val="24"/>
          <w:szCs w:val="24"/>
        </w:rPr>
        <w:tab/>
        <w:t>издатке за израду пројектно-техничке документације на конту 5114 (осим уколико је иста већ израђена);</w:t>
      </w:r>
    </w:p>
    <w:p w:rsidR="0093205D" w:rsidRPr="0093205D" w:rsidRDefault="0093205D" w:rsidP="0093205D">
      <w:pPr>
        <w:jc w:val="both"/>
        <w:rPr>
          <w:sz w:val="24"/>
          <w:szCs w:val="24"/>
        </w:rPr>
      </w:pPr>
    </w:p>
    <w:p w:rsidR="0093205D" w:rsidRPr="0093205D" w:rsidRDefault="0093205D" w:rsidP="0093205D">
      <w:pPr>
        <w:jc w:val="both"/>
        <w:rPr>
          <w:sz w:val="24"/>
          <w:szCs w:val="24"/>
        </w:rPr>
      </w:pPr>
      <w:r w:rsidRPr="0093205D">
        <w:rPr>
          <w:sz w:val="24"/>
          <w:szCs w:val="24"/>
        </w:rPr>
        <w:t>2)</w:t>
      </w:r>
      <w:r w:rsidRPr="0093205D">
        <w:rPr>
          <w:sz w:val="24"/>
          <w:szCs w:val="24"/>
        </w:rPr>
        <w:tab/>
        <w:t>издатке за експропријацију земљишта на конту 5411;</w:t>
      </w:r>
    </w:p>
    <w:p w:rsidR="0093205D" w:rsidRPr="0093205D" w:rsidRDefault="0093205D" w:rsidP="0093205D">
      <w:pPr>
        <w:jc w:val="both"/>
        <w:rPr>
          <w:sz w:val="24"/>
          <w:szCs w:val="24"/>
        </w:rPr>
      </w:pPr>
    </w:p>
    <w:p w:rsidR="0093205D" w:rsidRPr="0093205D" w:rsidRDefault="0093205D" w:rsidP="0093205D">
      <w:pPr>
        <w:jc w:val="both"/>
        <w:rPr>
          <w:sz w:val="24"/>
          <w:szCs w:val="24"/>
        </w:rPr>
      </w:pPr>
      <w:r w:rsidRPr="0093205D">
        <w:rPr>
          <w:sz w:val="24"/>
          <w:szCs w:val="24"/>
        </w:rPr>
        <w:t>3)</w:t>
      </w:r>
      <w:r w:rsidRPr="0093205D">
        <w:rPr>
          <w:sz w:val="24"/>
          <w:szCs w:val="24"/>
        </w:rPr>
        <w:tab/>
        <w:t>издатке за извођење радова на изградњи, односно извођење радова на капиталном одржавању на контима 5112 и 5113;</w:t>
      </w:r>
    </w:p>
    <w:p w:rsidR="0093205D" w:rsidRPr="0093205D" w:rsidRDefault="0093205D" w:rsidP="0093205D">
      <w:pPr>
        <w:jc w:val="both"/>
        <w:rPr>
          <w:sz w:val="24"/>
          <w:szCs w:val="24"/>
        </w:rPr>
      </w:pPr>
    </w:p>
    <w:p w:rsidR="0093205D" w:rsidRPr="0093205D" w:rsidRDefault="0093205D" w:rsidP="0093205D">
      <w:pPr>
        <w:jc w:val="both"/>
        <w:rPr>
          <w:sz w:val="24"/>
          <w:szCs w:val="24"/>
        </w:rPr>
      </w:pPr>
      <w:r w:rsidRPr="0093205D">
        <w:rPr>
          <w:sz w:val="24"/>
          <w:szCs w:val="24"/>
        </w:rPr>
        <w:t>4)</w:t>
      </w:r>
      <w:r w:rsidRPr="0093205D">
        <w:rPr>
          <w:sz w:val="24"/>
          <w:szCs w:val="24"/>
        </w:rPr>
        <w:tab/>
        <w:t>издатке за ангажовање стручног надзора на конту 5114 (осим уколико исти нису планирани од стране инвеститора или на неки други начин).</w:t>
      </w:r>
    </w:p>
    <w:p w:rsidR="0093205D" w:rsidRPr="0093205D" w:rsidRDefault="0093205D" w:rsidP="0093205D">
      <w:pPr>
        <w:jc w:val="both"/>
        <w:rPr>
          <w:sz w:val="24"/>
          <w:szCs w:val="24"/>
        </w:rPr>
      </w:pPr>
    </w:p>
    <w:p w:rsidR="0093205D" w:rsidRPr="0093205D" w:rsidRDefault="0093205D" w:rsidP="00562CA4">
      <w:pPr>
        <w:ind w:firstLine="720"/>
        <w:jc w:val="both"/>
        <w:rPr>
          <w:sz w:val="24"/>
          <w:szCs w:val="24"/>
        </w:rPr>
      </w:pPr>
      <w:r w:rsidRPr="0093205D">
        <w:rPr>
          <w:sz w:val="24"/>
          <w:szCs w:val="24"/>
        </w:rPr>
        <w:t>У</w:t>
      </w:r>
      <w:r w:rsidRPr="0093205D">
        <w:rPr>
          <w:sz w:val="24"/>
          <w:szCs w:val="24"/>
        </w:rPr>
        <w:tab/>
        <w:t>циљу реалног планирања издатака капиталног пројекта, неопходно је да корисници образложе тренутни статус дозвола и сагласност (локацијска, грађевинска дозвола, сагласности одговарајућих јавних предузећа) које су неопходне за почетак извођења радова. Корисници су дужни да планирају расходе, који су у вези са добијањем ових дозвола и сагласности, на одговарајућим контима.</w:t>
      </w:r>
    </w:p>
    <w:p w:rsidR="00410F3B" w:rsidRPr="00C627FB" w:rsidRDefault="00410F3B" w:rsidP="00410F3B">
      <w:pPr>
        <w:jc w:val="both"/>
        <w:rPr>
          <w:sz w:val="24"/>
          <w:szCs w:val="24"/>
        </w:rPr>
      </w:pPr>
    </w:p>
    <w:p w:rsidR="00410F3B" w:rsidRPr="00410F3B" w:rsidRDefault="00410F3B" w:rsidP="00410F3B">
      <w:pPr>
        <w:jc w:val="both"/>
        <w:rPr>
          <w:sz w:val="24"/>
          <w:szCs w:val="24"/>
        </w:rPr>
      </w:pPr>
    </w:p>
    <w:p w:rsidR="00410F3B" w:rsidRPr="00410F3B" w:rsidRDefault="00410F3B" w:rsidP="00410F3B">
      <w:pPr>
        <w:jc w:val="center"/>
        <w:rPr>
          <w:b/>
          <w:sz w:val="24"/>
          <w:szCs w:val="24"/>
        </w:rPr>
      </w:pPr>
      <w:r w:rsidRPr="00410F3B">
        <w:rPr>
          <w:b/>
          <w:sz w:val="24"/>
          <w:szCs w:val="24"/>
        </w:rPr>
        <w:t>5.СМЕРНИЦЕ ЗА ПРИПРЕМУ СРЕДЊОРОЧНИХ ПЛАНОВА ДИРЕКТНИХ КОРИСНИКА БУЏЕТА ЛОКАЛНЕ ВЛАСТИ</w:t>
      </w:r>
    </w:p>
    <w:p w:rsidR="00410F3B" w:rsidRPr="00C627FB" w:rsidRDefault="00410F3B" w:rsidP="00410F3B">
      <w:pPr>
        <w:jc w:val="both"/>
        <w:rPr>
          <w:sz w:val="24"/>
          <w:szCs w:val="24"/>
        </w:rPr>
      </w:pPr>
    </w:p>
    <w:p w:rsidR="00410F3B" w:rsidRPr="00410F3B" w:rsidRDefault="00410F3B" w:rsidP="00410F3B">
      <w:pPr>
        <w:jc w:val="both"/>
        <w:rPr>
          <w:sz w:val="24"/>
          <w:szCs w:val="24"/>
        </w:rPr>
      </w:pPr>
    </w:p>
    <w:p w:rsidR="00410F3B" w:rsidRDefault="00410F3B" w:rsidP="00410F3B">
      <w:pPr>
        <w:ind w:firstLine="720"/>
        <w:jc w:val="both"/>
        <w:rPr>
          <w:sz w:val="24"/>
          <w:szCs w:val="24"/>
        </w:rPr>
      </w:pPr>
      <w:r w:rsidRPr="00410F3B">
        <w:rPr>
          <w:sz w:val="24"/>
          <w:szCs w:val="24"/>
        </w:rPr>
        <w:t>Сагласно одредбама члана 40. Закона о буџетском систему, буџетски корисници општине Мало Црниће су у обавези да се при изради предлога финансијског плана за 2018. годину придржавају следећег:</w:t>
      </w:r>
    </w:p>
    <w:p w:rsidR="007144D3" w:rsidRPr="007144D3" w:rsidRDefault="007144D3" w:rsidP="00410F3B">
      <w:pPr>
        <w:ind w:firstLine="720"/>
        <w:jc w:val="both"/>
        <w:rPr>
          <w:sz w:val="24"/>
          <w:szCs w:val="24"/>
        </w:rPr>
      </w:pPr>
    </w:p>
    <w:p w:rsidR="00410F3B" w:rsidRPr="00562CA4" w:rsidRDefault="00410F3B" w:rsidP="00410F3B">
      <w:pPr>
        <w:jc w:val="both"/>
        <w:rPr>
          <w:sz w:val="24"/>
          <w:szCs w:val="24"/>
        </w:rPr>
      </w:pPr>
      <w:r w:rsidRPr="00410F3B">
        <w:rPr>
          <w:sz w:val="24"/>
          <w:szCs w:val="24"/>
        </w:rPr>
        <w:t xml:space="preserve">1. Основ политике планирања прихода и расхода мора бити у складу са реалним пројекцијама </w:t>
      </w:r>
      <w:r w:rsidR="009B5212">
        <w:rPr>
          <w:sz w:val="24"/>
          <w:szCs w:val="24"/>
        </w:rPr>
        <w:t>буџета општине за 201</w:t>
      </w:r>
      <w:r w:rsidR="009B5212">
        <w:rPr>
          <w:sz w:val="24"/>
          <w:szCs w:val="24"/>
          <w:lang/>
        </w:rPr>
        <w:t>9</w:t>
      </w:r>
      <w:r w:rsidR="00562CA4">
        <w:rPr>
          <w:sz w:val="24"/>
          <w:szCs w:val="24"/>
        </w:rPr>
        <w:t>. годину.</w:t>
      </w:r>
    </w:p>
    <w:p w:rsidR="00410F3B" w:rsidRPr="00562CA4" w:rsidRDefault="00410F3B" w:rsidP="00410F3B">
      <w:pPr>
        <w:jc w:val="both"/>
        <w:rPr>
          <w:sz w:val="24"/>
          <w:szCs w:val="24"/>
        </w:rPr>
      </w:pPr>
      <w:r w:rsidRPr="00410F3B">
        <w:rPr>
          <w:sz w:val="24"/>
          <w:szCs w:val="24"/>
        </w:rPr>
        <w:t>2. При изради предл</w:t>
      </w:r>
      <w:r w:rsidR="009B5212">
        <w:rPr>
          <w:sz w:val="24"/>
          <w:szCs w:val="24"/>
        </w:rPr>
        <w:t>ога финансијских планова за 201</w:t>
      </w:r>
      <w:r w:rsidR="009B5212">
        <w:rPr>
          <w:sz w:val="24"/>
          <w:szCs w:val="24"/>
          <w:lang/>
        </w:rPr>
        <w:t>9</w:t>
      </w:r>
      <w:r w:rsidRPr="00410F3B">
        <w:rPr>
          <w:sz w:val="24"/>
          <w:szCs w:val="24"/>
        </w:rPr>
        <w:t>. годину, корисници буџета треба да планирају расходе и издатке до нивоа утврђених овим Упутством, водећи рачуна при томе о донетим одлукама, уговореним обавезама и друго, од стране Скупштине општине, односно надлеж</w:t>
      </w:r>
      <w:r w:rsidR="00562CA4">
        <w:rPr>
          <w:sz w:val="24"/>
          <w:szCs w:val="24"/>
        </w:rPr>
        <w:t>ног органа општине Мало Црниће.</w:t>
      </w:r>
    </w:p>
    <w:p w:rsidR="00410F3B" w:rsidRPr="00410F3B" w:rsidRDefault="007144D3" w:rsidP="00540D1B">
      <w:pPr>
        <w:ind w:firstLine="720"/>
        <w:jc w:val="both"/>
        <w:rPr>
          <w:sz w:val="24"/>
          <w:szCs w:val="24"/>
        </w:rPr>
      </w:pPr>
      <w:r>
        <w:rPr>
          <w:sz w:val="24"/>
          <w:szCs w:val="24"/>
        </w:rPr>
        <w:t>П</w:t>
      </w:r>
      <w:r w:rsidR="00562CA4">
        <w:rPr>
          <w:sz w:val="24"/>
          <w:szCs w:val="24"/>
        </w:rPr>
        <w:t>р</w:t>
      </w:r>
      <w:r>
        <w:rPr>
          <w:sz w:val="24"/>
          <w:szCs w:val="24"/>
        </w:rPr>
        <w:t xml:space="preserve">ема члану 2. </w:t>
      </w:r>
      <w:r w:rsidR="008E0001">
        <w:rPr>
          <w:sz w:val="24"/>
          <w:szCs w:val="24"/>
        </w:rPr>
        <w:t>тачка</w:t>
      </w:r>
      <w:r>
        <w:rPr>
          <w:sz w:val="24"/>
          <w:szCs w:val="24"/>
        </w:rPr>
        <w:t xml:space="preserve"> </w:t>
      </w:r>
      <w:r w:rsidR="008E0001">
        <w:rPr>
          <w:sz w:val="24"/>
          <w:szCs w:val="24"/>
        </w:rPr>
        <w:t>59.</w:t>
      </w:r>
      <w:r>
        <w:rPr>
          <w:sz w:val="24"/>
          <w:szCs w:val="24"/>
        </w:rPr>
        <w:t xml:space="preserve"> </w:t>
      </w:r>
      <w:r w:rsidR="008E0001">
        <w:rPr>
          <w:sz w:val="24"/>
          <w:szCs w:val="24"/>
        </w:rPr>
        <w:t>З</w:t>
      </w:r>
      <w:r w:rsidR="00540D1B">
        <w:rPr>
          <w:sz w:val="24"/>
          <w:szCs w:val="24"/>
        </w:rPr>
        <w:t>акона о буџетском систему с</w:t>
      </w:r>
      <w:r w:rsidR="00540D1B" w:rsidRPr="00540D1B">
        <w:rPr>
          <w:sz w:val="24"/>
          <w:szCs w:val="24"/>
        </w:rPr>
        <w:t>редњорочни план је свеобухватни план буџетско</w:t>
      </w:r>
      <w:r w:rsidR="00540D1B">
        <w:rPr>
          <w:sz w:val="24"/>
          <w:szCs w:val="24"/>
        </w:rPr>
        <w:t>г корисника који садржи детаљну</w:t>
      </w:r>
      <w:r w:rsidR="00C9325F">
        <w:rPr>
          <w:sz w:val="24"/>
          <w:szCs w:val="24"/>
        </w:rPr>
        <w:t xml:space="preserve"> </w:t>
      </w:r>
      <w:r w:rsidR="00540D1B" w:rsidRPr="00540D1B">
        <w:rPr>
          <w:sz w:val="24"/>
          <w:szCs w:val="24"/>
        </w:rPr>
        <w:t>разраду свих програма, пројеката и програмских а</w:t>
      </w:r>
      <w:r w:rsidR="00540D1B">
        <w:rPr>
          <w:sz w:val="24"/>
          <w:szCs w:val="24"/>
        </w:rPr>
        <w:t>ктивности за буџетску годину са</w:t>
      </w:r>
      <w:r w:rsidR="00C9325F">
        <w:rPr>
          <w:sz w:val="24"/>
          <w:szCs w:val="24"/>
        </w:rPr>
        <w:t xml:space="preserve"> </w:t>
      </w:r>
      <w:r w:rsidR="00540D1B" w:rsidRPr="00540D1B">
        <w:rPr>
          <w:sz w:val="24"/>
          <w:szCs w:val="24"/>
        </w:rPr>
        <w:t>пројекцијама за наредне две године, према ут</w:t>
      </w:r>
      <w:r w:rsidR="00540D1B">
        <w:rPr>
          <w:sz w:val="24"/>
          <w:szCs w:val="24"/>
        </w:rPr>
        <w:t>врђеним средњорочним циљевима и</w:t>
      </w:r>
      <w:r w:rsidR="00C9325F">
        <w:rPr>
          <w:sz w:val="24"/>
          <w:szCs w:val="24"/>
        </w:rPr>
        <w:t xml:space="preserve"> </w:t>
      </w:r>
      <w:r w:rsidR="00540D1B" w:rsidRPr="00540D1B">
        <w:rPr>
          <w:sz w:val="24"/>
          <w:szCs w:val="24"/>
        </w:rPr>
        <w:t>приоритетима, који служи и као основа за израду обр</w:t>
      </w:r>
      <w:r w:rsidR="00540D1B">
        <w:rPr>
          <w:sz w:val="24"/>
          <w:szCs w:val="24"/>
        </w:rPr>
        <w:t>азложења финансијског плана тог</w:t>
      </w:r>
      <w:r w:rsidR="00C9325F">
        <w:rPr>
          <w:sz w:val="24"/>
          <w:szCs w:val="24"/>
        </w:rPr>
        <w:t xml:space="preserve"> </w:t>
      </w:r>
      <w:r w:rsidR="00540D1B" w:rsidRPr="00540D1B">
        <w:rPr>
          <w:sz w:val="24"/>
          <w:szCs w:val="24"/>
        </w:rPr>
        <w:t>корисника и израђује се у складу са упутством за припрему буџета;</w:t>
      </w:r>
    </w:p>
    <w:p w:rsidR="00410F3B" w:rsidRPr="00C627FB" w:rsidRDefault="002B786B" w:rsidP="00C627FB">
      <w:pPr>
        <w:ind w:firstLine="720"/>
        <w:jc w:val="both"/>
        <w:rPr>
          <w:sz w:val="24"/>
          <w:szCs w:val="24"/>
        </w:rPr>
      </w:pPr>
      <w:r w:rsidRPr="002B786B">
        <w:rPr>
          <w:sz w:val="24"/>
          <w:szCs w:val="24"/>
        </w:rPr>
        <w:t>Корисници буџетских средстава израђују предлоге финансијских планова за буџетску годину са пројекцијама за наредне две фискалне године, без обзира да ли се капитални пројекти уговарају фазно по годинама или корисник преузима обавезе по уговору који захтева плаћање у више година</w:t>
      </w:r>
      <w:r w:rsidR="00C627FB">
        <w:rPr>
          <w:sz w:val="24"/>
          <w:szCs w:val="24"/>
        </w:rPr>
        <w:t>.</w:t>
      </w:r>
    </w:p>
    <w:p w:rsidR="008C1030" w:rsidRDefault="008C1030" w:rsidP="003A3FE6">
      <w:pPr>
        <w:spacing w:line="276" w:lineRule="auto"/>
        <w:ind w:left="1400" w:right="120" w:hanging="1400"/>
        <w:jc w:val="center"/>
        <w:rPr>
          <w:rFonts w:eastAsia="Times New Roman"/>
          <w:b/>
          <w:bCs/>
          <w:sz w:val="24"/>
          <w:szCs w:val="24"/>
        </w:rPr>
      </w:pPr>
    </w:p>
    <w:p w:rsidR="003A3FE6" w:rsidRPr="00F507AD" w:rsidRDefault="0020349E" w:rsidP="00F507AD">
      <w:pPr>
        <w:spacing w:line="276" w:lineRule="auto"/>
        <w:ind w:left="1400" w:right="120" w:hanging="1400"/>
        <w:jc w:val="center"/>
        <w:rPr>
          <w:rFonts w:eastAsia="Times New Roman"/>
          <w:b/>
          <w:bCs/>
          <w:sz w:val="24"/>
          <w:szCs w:val="24"/>
        </w:rPr>
      </w:pPr>
      <w:r>
        <w:rPr>
          <w:rFonts w:eastAsia="Times New Roman"/>
          <w:b/>
          <w:bCs/>
          <w:sz w:val="24"/>
          <w:szCs w:val="24"/>
        </w:rPr>
        <w:t>6</w:t>
      </w:r>
      <w:r w:rsidR="003A3FE6" w:rsidRPr="003A3FE6">
        <w:rPr>
          <w:rFonts w:eastAsia="Times New Roman"/>
          <w:b/>
          <w:bCs/>
          <w:sz w:val="24"/>
          <w:szCs w:val="24"/>
        </w:rPr>
        <w:t xml:space="preserve">. ПРИКАКЗИВАЊЕ РОДНЕ </w:t>
      </w:r>
      <w:r w:rsidR="009B5212">
        <w:rPr>
          <w:rFonts w:eastAsia="Times New Roman"/>
          <w:b/>
          <w:bCs/>
          <w:sz w:val="24"/>
          <w:szCs w:val="24"/>
        </w:rPr>
        <w:t>АНАЛИЗЕ У БУЏЕТУ ОПШТИНЕ ЗА 201</w:t>
      </w:r>
      <w:r w:rsidR="009B5212">
        <w:rPr>
          <w:rFonts w:eastAsia="Times New Roman"/>
          <w:b/>
          <w:bCs/>
          <w:sz w:val="24"/>
          <w:szCs w:val="24"/>
          <w:lang/>
        </w:rPr>
        <w:t>9</w:t>
      </w:r>
      <w:r w:rsidR="003A3FE6" w:rsidRPr="003A3FE6">
        <w:rPr>
          <w:rFonts w:eastAsia="Times New Roman"/>
          <w:b/>
          <w:bCs/>
          <w:sz w:val="24"/>
          <w:szCs w:val="24"/>
        </w:rPr>
        <w:t>.ГОДИНУ</w:t>
      </w:r>
    </w:p>
    <w:p w:rsidR="003A3FE6" w:rsidRPr="003A3FE6" w:rsidRDefault="003A3FE6" w:rsidP="003A3FE6">
      <w:pPr>
        <w:spacing w:line="276" w:lineRule="auto"/>
        <w:ind w:right="2"/>
        <w:jc w:val="both"/>
        <w:rPr>
          <w:rFonts w:eastAsia="Times New Roman"/>
          <w:bCs/>
          <w:sz w:val="24"/>
          <w:szCs w:val="24"/>
        </w:rPr>
      </w:pPr>
    </w:p>
    <w:p w:rsidR="003A3FE6" w:rsidRPr="0020349E" w:rsidRDefault="003A3FE6" w:rsidP="0020349E">
      <w:pPr>
        <w:spacing w:line="276" w:lineRule="auto"/>
        <w:ind w:right="2" w:firstLine="720"/>
        <w:jc w:val="both"/>
        <w:rPr>
          <w:rFonts w:eastAsia="Times New Roman"/>
          <w:bCs/>
          <w:sz w:val="24"/>
          <w:szCs w:val="24"/>
        </w:rPr>
      </w:pPr>
      <w:r w:rsidRPr="003A3FE6">
        <w:rPr>
          <w:rFonts w:eastAsia="Times New Roman"/>
          <w:bCs/>
          <w:sz w:val="24"/>
          <w:szCs w:val="24"/>
        </w:rPr>
        <w:t xml:space="preserve">На основу члана 16[с7] Закона о изменама и допунама Закона о буџетском систему („Службени гласник РС”, број 99/2016), Одсек  за  буџет и трезор Општинске управе Мало Црниће, донeo je План поступног увођења родно одговорног буџетирања </w:t>
      </w:r>
      <w:r w:rsidRPr="003A3FE6">
        <w:rPr>
          <w:rFonts w:eastAsia="Times New Roman"/>
          <w:bCs/>
          <w:sz w:val="24"/>
          <w:szCs w:val="24"/>
        </w:rPr>
        <w:lastRenderedPageBreak/>
        <w:t>за кориснике буџ</w:t>
      </w:r>
      <w:r w:rsidR="009B5212">
        <w:rPr>
          <w:rFonts w:eastAsia="Times New Roman"/>
          <w:bCs/>
          <w:sz w:val="24"/>
          <w:szCs w:val="24"/>
        </w:rPr>
        <w:t>етских средстава општине за 201</w:t>
      </w:r>
      <w:r w:rsidR="009B5212">
        <w:rPr>
          <w:rFonts w:eastAsia="Times New Roman"/>
          <w:bCs/>
          <w:sz w:val="24"/>
          <w:szCs w:val="24"/>
          <w:lang/>
        </w:rPr>
        <w:t>9</w:t>
      </w:r>
      <w:r w:rsidRPr="003A3FE6">
        <w:rPr>
          <w:rFonts w:eastAsia="Times New Roman"/>
          <w:bCs/>
          <w:sz w:val="24"/>
          <w:szCs w:val="24"/>
        </w:rPr>
        <w:t>. годину,број:</w:t>
      </w:r>
      <w:r w:rsidR="0090308C">
        <w:rPr>
          <w:rFonts w:eastAsia="Times New Roman"/>
          <w:bCs/>
          <w:sz w:val="24"/>
          <w:szCs w:val="24"/>
        </w:rPr>
        <w:t xml:space="preserve"> </w:t>
      </w:r>
      <w:r w:rsidRPr="003A3FE6">
        <w:rPr>
          <w:rFonts w:eastAsia="Times New Roman"/>
          <w:bCs/>
          <w:sz w:val="24"/>
          <w:szCs w:val="24"/>
        </w:rPr>
        <w:t>400-9/2017 од 31.05.2017.</w:t>
      </w:r>
      <w:r w:rsidR="0090308C">
        <w:rPr>
          <w:rFonts w:eastAsia="Times New Roman"/>
          <w:bCs/>
          <w:sz w:val="24"/>
          <w:szCs w:val="24"/>
        </w:rPr>
        <w:t xml:space="preserve"> </w:t>
      </w:r>
      <w:r w:rsidRPr="003A3FE6">
        <w:rPr>
          <w:rFonts w:eastAsia="Times New Roman"/>
          <w:bCs/>
          <w:sz w:val="24"/>
          <w:szCs w:val="24"/>
        </w:rPr>
        <w:t>године. Сходно члану 40.став 2. тачка 7. Закона о буџетском систему родно одговорно буџетирање представља увођење принципа родне равноправности у буџетски процес, што подразумева родну анализу буџета и реструктурирање прихода и расхода са циљем унапређења родне равноправности. Према плану</w:t>
      </w:r>
      <w:r w:rsidR="009B5212">
        <w:rPr>
          <w:rFonts w:eastAsia="Times New Roman"/>
          <w:bCs/>
          <w:sz w:val="24"/>
          <w:szCs w:val="24"/>
          <w:lang/>
        </w:rPr>
        <w:t xml:space="preserve"> </w:t>
      </w:r>
      <w:r w:rsidRPr="003A3FE6">
        <w:rPr>
          <w:rFonts w:eastAsia="Times New Roman"/>
          <w:bCs/>
          <w:sz w:val="24"/>
          <w:szCs w:val="24"/>
        </w:rPr>
        <w:t>увођење родно одговорног буџетирања у поступку пр</w:t>
      </w:r>
      <w:r w:rsidR="009B5212">
        <w:rPr>
          <w:rFonts w:eastAsia="Times New Roman"/>
          <w:bCs/>
          <w:sz w:val="24"/>
          <w:szCs w:val="24"/>
        </w:rPr>
        <w:t>ипреме и доношења буџета за 201</w:t>
      </w:r>
      <w:r w:rsidR="009B5212">
        <w:rPr>
          <w:rFonts w:eastAsia="Times New Roman"/>
          <w:bCs/>
          <w:sz w:val="24"/>
          <w:szCs w:val="24"/>
          <w:lang/>
        </w:rPr>
        <w:t>9</w:t>
      </w:r>
      <w:r w:rsidRPr="003A3FE6">
        <w:rPr>
          <w:rFonts w:eastAsia="Times New Roman"/>
          <w:bCs/>
          <w:sz w:val="24"/>
          <w:szCs w:val="24"/>
        </w:rPr>
        <w:t>. годину, утврђује се код следећих корисника:</w:t>
      </w:r>
    </w:p>
    <w:p w:rsidR="003A3FE6" w:rsidRPr="00F507AD" w:rsidRDefault="003A3FE6" w:rsidP="00F507AD">
      <w:pPr>
        <w:spacing w:line="276" w:lineRule="auto"/>
        <w:ind w:right="2" w:firstLine="720"/>
        <w:jc w:val="both"/>
        <w:rPr>
          <w:rFonts w:eastAsia="Times New Roman"/>
          <w:bCs/>
          <w:sz w:val="24"/>
          <w:szCs w:val="24"/>
        </w:rPr>
      </w:pPr>
      <w:r w:rsidRPr="003A3FE6">
        <w:rPr>
          <w:rFonts w:eastAsia="Times New Roman"/>
          <w:bCs/>
          <w:sz w:val="24"/>
          <w:szCs w:val="24"/>
        </w:rPr>
        <w:t>Општинска управа Мало Црниће</w:t>
      </w:r>
      <w:r w:rsidR="00582B1E">
        <w:rPr>
          <w:rFonts w:eastAsia="Times New Roman"/>
          <w:bCs/>
          <w:sz w:val="24"/>
          <w:szCs w:val="24"/>
        </w:rPr>
        <w:t xml:space="preserve"> Програм 1</w:t>
      </w:r>
      <w:r w:rsidR="00582B1E">
        <w:rPr>
          <w:rFonts w:eastAsia="Times New Roman"/>
          <w:bCs/>
          <w:sz w:val="24"/>
          <w:szCs w:val="24"/>
          <w:lang/>
        </w:rPr>
        <w:t>3</w:t>
      </w:r>
      <w:r>
        <w:rPr>
          <w:rFonts w:eastAsia="Times New Roman"/>
          <w:bCs/>
          <w:sz w:val="24"/>
          <w:szCs w:val="24"/>
        </w:rPr>
        <w:t xml:space="preserve"> </w:t>
      </w:r>
      <w:r w:rsidRPr="003A3FE6">
        <w:rPr>
          <w:rFonts w:eastAsia="Times New Roman"/>
          <w:bCs/>
          <w:sz w:val="24"/>
          <w:szCs w:val="24"/>
        </w:rPr>
        <w:t>-</w:t>
      </w:r>
      <w:r>
        <w:rPr>
          <w:rFonts w:eastAsia="Times New Roman"/>
          <w:bCs/>
          <w:sz w:val="24"/>
          <w:szCs w:val="24"/>
        </w:rPr>
        <w:t xml:space="preserve"> </w:t>
      </w:r>
      <w:r w:rsidRPr="003A3FE6">
        <w:rPr>
          <w:rFonts w:eastAsia="Times New Roman"/>
          <w:bCs/>
          <w:sz w:val="24"/>
          <w:szCs w:val="24"/>
        </w:rPr>
        <w:t xml:space="preserve">Развој </w:t>
      </w:r>
      <w:r w:rsidR="00582B1E">
        <w:rPr>
          <w:rFonts w:eastAsia="Times New Roman"/>
          <w:bCs/>
          <w:sz w:val="24"/>
          <w:szCs w:val="24"/>
          <w:lang/>
        </w:rPr>
        <w:t>културе и информисања</w:t>
      </w:r>
      <w:r w:rsidRPr="003A3FE6">
        <w:rPr>
          <w:rFonts w:eastAsia="Times New Roman"/>
          <w:bCs/>
          <w:sz w:val="24"/>
          <w:szCs w:val="24"/>
        </w:rPr>
        <w:t xml:space="preserve"> и </w:t>
      </w:r>
      <w:r w:rsidR="009C1C06">
        <w:rPr>
          <w:rFonts w:eastAsia="Times New Roman"/>
          <w:bCs/>
          <w:sz w:val="24"/>
          <w:szCs w:val="24"/>
          <w:lang/>
        </w:rPr>
        <w:t>Библиотека „Србољуб Митић“ Мало Црниће</w:t>
      </w:r>
      <w:r w:rsidR="009C1C06">
        <w:rPr>
          <w:rFonts w:eastAsia="Times New Roman"/>
          <w:bCs/>
          <w:sz w:val="24"/>
          <w:szCs w:val="24"/>
        </w:rPr>
        <w:t xml:space="preserve"> Програм </w:t>
      </w:r>
      <w:r w:rsidR="009C1C06">
        <w:rPr>
          <w:rFonts w:eastAsia="Times New Roman"/>
          <w:bCs/>
          <w:sz w:val="24"/>
          <w:szCs w:val="24"/>
          <w:lang/>
        </w:rPr>
        <w:t>13</w:t>
      </w:r>
      <w:r w:rsidRPr="003A3FE6">
        <w:rPr>
          <w:rFonts w:eastAsia="Times New Roman"/>
          <w:bCs/>
          <w:sz w:val="24"/>
          <w:szCs w:val="24"/>
        </w:rPr>
        <w:t xml:space="preserve"> –</w:t>
      </w:r>
      <w:r>
        <w:rPr>
          <w:rFonts w:eastAsia="Times New Roman"/>
          <w:bCs/>
          <w:sz w:val="24"/>
          <w:szCs w:val="24"/>
        </w:rPr>
        <w:t xml:space="preserve"> </w:t>
      </w:r>
      <w:r w:rsidR="009C1C06" w:rsidRPr="003A3FE6">
        <w:rPr>
          <w:rFonts w:eastAsia="Times New Roman"/>
          <w:bCs/>
          <w:sz w:val="24"/>
          <w:szCs w:val="24"/>
        </w:rPr>
        <w:t xml:space="preserve">Развој </w:t>
      </w:r>
      <w:r w:rsidR="009C1C06">
        <w:rPr>
          <w:rFonts w:eastAsia="Times New Roman"/>
          <w:bCs/>
          <w:sz w:val="24"/>
          <w:szCs w:val="24"/>
          <w:lang/>
        </w:rPr>
        <w:t>културе и информисања</w:t>
      </w:r>
      <w:r w:rsidRPr="003A3FE6">
        <w:rPr>
          <w:rFonts w:eastAsia="Times New Roman"/>
          <w:bCs/>
          <w:sz w:val="24"/>
          <w:szCs w:val="24"/>
        </w:rPr>
        <w:t xml:space="preserve">. Наведени буџетски корисници у оквиру програма приказују родну компоненту то тако што ће бити дефинисан најмање један родни циљ у оквиру сваког од Планом опредељених програма било на нивоу програма или програмске активности, уз настојање да се уродњавање примени на оба нивоа. Такође, уз сваки дефинисани родни циљ, обавезно је дефинисање најмање једног родног индикатора – показатеља за праћење постизања односног циља програма и/или програмске активности.  </w:t>
      </w:r>
    </w:p>
    <w:p w:rsidR="008C1030" w:rsidRDefault="008C1030" w:rsidP="0020349E">
      <w:pPr>
        <w:spacing w:line="276" w:lineRule="auto"/>
        <w:ind w:left="1400" w:right="120" w:hanging="1400"/>
        <w:jc w:val="center"/>
        <w:rPr>
          <w:rFonts w:eastAsia="Times New Roman"/>
          <w:b/>
          <w:bCs/>
          <w:sz w:val="24"/>
          <w:szCs w:val="24"/>
        </w:rPr>
      </w:pPr>
    </w:p>
    <w:p w:rsidR="00FE2AC3" w:rsidRDefault="0020349E" w:rsidP="0020349E">
      <w:pPr>
        <w:spacing w:line="276" w:lineRule="auto"/>
        <w:ind w:left="1400" w:right="120" w:hanging="1400"/>
        <w:jc w:val="center"/>
        <w:rPr>
          <w:rFonts w:eastAsia="Times New Roman"/>
          <w:b/>
          <w:bCs/>
          <w:sz w:val="24"/>
          <w:szCs w:val="24"/>
        </w:rPr>
      </w:pPr>
      <w:r>
        <w:rPr>
          <w:rFonts w:eastAsia="Times New Roman"/>
          <w:b/>
          <w:bCs/>
          <w:sz w:val="24"/>
          <w:szCs w:val="24"/>
        </w:rPr>
        <w:t>7</w:t>
      </w:r>
      <w:r w:rsidR="00FE2AC3">
        <w:rPr>
          <w:rFonts w:eastAsia="Times New Roman"/>
          <w:b/>
          <w:bCs/>
          <w:sz w:val="24"/>
          <w:szCs w:val="24"/>
        </w:rPr>
        <w:t>.ПОСТУПАК И ДИНАМИКА ПРИПРЕМА  БУЏЕТА ЛОКАЛНЕ ВЛАСТИ И ПРЕДЛОГА ФИНАНСИЈСКИХ ПЛАНОВА КОРИСНИКА СРЕДСТАВА БУЏЕТА ЛОКАЛНЕ ВЛАСТИ</w:t>
      </w:r>
    </w:p>
    <w:p w:rsidR="00FE2AC3" w:rsidRDefault="00FE2AC3" w:rsidP="0020349E">
      <w:pPr>
        <w:spacing w:line="197" w:lineRule="exact"/>
        <w:jc w:val="center"/>
        <w:rPr>
          <w:sz w:val="20"/>
          <w:szCs w:val="20"/>
        </w:rPr>
      </w:pPr>
    </w:p>
    <w:p w:rsidR="00FE2AC3" w:rsidRPr="008E0001" w:rsidRDefault="00FE2AC3" w:rsidP="00FE2AC3">
      <w:pPr>
        <w:spacing w:line="197" w:lineRule="exact"/>
        <w:rPr>
          <w:sz w:val="20"/>
          <w:szCs w:val="20"/>
        </w:rPr>
      </w:pPr>
    </w:p>
    <w:p w:rsidR="00FE2AC3" w:rsidRPr="00562CA4" w:rsidRDefault="00C9325F" w:rsidP="00562CA4">
      <w:pPr>
        <w:spacing w:line="255" w:lineRule="auto"/>
        <w:ind w:left="120" w:right="20" w:firstLine="720"/>
        <w:jc w:val="both"/>
        <w:rPr>
          <w:sz w:val="20"/>
          <w:szCs w:val="20"/>
        </w:rPr>
      </w:pPr>
      <w:r>
        <w:rPr>
          <w:rFonts w:eastAsia="Times New Roman"/>
          <w:sz w:val="24"/>
          <w:szCs w:val="24"/>
        </w:rPr>
        <w:t>Предлог финанс</w:t>
      </w:r>
      <w:r w:rsidR="009B5212">
        <w:rPr>
          <w:rFonts w:eastAsia="Times New Roman"/>
          <w:sz w:val="24"/>
          <w:szCs w:val="24"/>
        </w:rPr>
        <w:t>ијског плана за 201</w:t>
      </w:r>
      <w:r w:rsidR="009B5212">
        <w:rPr>
          <w:rFonts w:eastAsia="Times New Roman"/>
          <w:sz w:val="24"/>
          <w:szCs w:val="24"/>
          <w:lang/>
        </w:rPr>
        <w:t>9</w:t>
      </w:r>
      <w:r w:rsidR="00FE2AC3">
        <w:rPr>
          <w:rFonts w:eastAsia="Times New Roman"/>
          <w:sz w:val="24"/>
          <w:szCs w:val="24"/>
        </w:rPr>
        <w:t>. годину мора да представља процену финансијских потреба корисника буџетских средстава, као и извора средстава из којих ће се ове потребе финансирати.</w:t>
      </w:r>
    </w:p>
    <w:p w:rsidR="00FE2AC3" w:rsidRDefault="00FE2AC3" w:rsidP="00FE2AC3">
      <w:pPr>
        <w:spacing w:line="250" w:lineRule="auto"/>
        <w:ind w:left="120" w:right="20" w:firstLine="720"/>
        <w:jc w:val="both"/>
        <w:rPr>
          <w:sz w:val="20"/>
          <w:szCs w:val="20"/>
        </w:rPr>
      </w:pPr>
      <w:r>
        <w:rPr>
          <w:rFonts w:eastAsia="Times New Roman"/>
          <w:sz w:val="24"/>
          <w:szCs w:val="24"/>
        </w:rPr>
        <w:t xml:space="preserve">Посебно је важно да буџетски корисници у предлогу свог финансијског плана, осим буџетских, искажу и </w:t>
      </w:r>
      <w:r w:rsidRPr="008E0001">
        <w:rPr>
          <w:rFonts w:eastAsia="Times New Roman"/>
          <w:bCs/>
          <w:sz w:val="24"/>
          <w:szCs w:val="24"/>
        </w:rPr>
        <w:t>друге изворе финансирања</w:t>
      </w:r>
      <w:r>
        <w:rPr>
          <w:rFonts w:eastAsia="Times New Roman"/>
          <w:sz w:val="24"/>
          <w:szCs w:val="24"/>
        </w:rPr>
        <w:t xml:space="preserve"> (сопствени приходи, донације и сл .). Услов за коришћење остварених сопствених прихода за одређену намену биће да је расход планиран у буџету.</w:t>
      </w:r>
    </w:p>
    <w:p w:rsidR="00FE2AC3" w:rsidRDefault="00FE2AC3" w:rsidP="00FE2AC3">
      <w:pPr>
        <w:spacing w:line="226" w:lineRule="exact"/>
        <w:rPr>
          <w:sz w:val="20"/>
          <w:szCs w:val="20"/>
        </w:rPr>
      </w:pPr>
    </w:p>
    <w:p w:rsidR="008C1030" w:rsidRDefault="008C1030" w:rsidP="00FE2AC3">
      <w:pPr>
        <w:ind w:left="840"/>
        <w:rPr>
          <w:rFonts w:eastAsia="Times New Roman"/>
          <w:b/>
          <w:bCs/>
          <w:sz w:val="24"/>
          <w:szCs w:val="24"/>
        </w:rPr>
      </w:pPr>
    </w:p>
    <w:p w:rsidR="00FE2AC3" w:rsidRDefault="00FE2AC3" w:rsidP="00FE2AC3">
      <w:pPr>
        <w:ind w:left="840"/>
        <w:rPr>
          <w:sz w:val="20"/>
          <w:szCs w:val="20"/>
        </w:rPr>
      </w:pPr>
      <w:r>
        <w:rPr>
          <w:rFonts w:eastAsia="Times New Roman"/>
          <w:b/>
          <w:bCs/>
          <w:sz w:val="24"/>
          <w:szCs w:val="24"/>
        </w:rPr>
        <w:t>Предлог финансијског плана обухвата:</w:t>
      </w:r>
    </w:p>
    <w:p w:rsidR="00FE2AC3" w:rsidRDefault="00FE2AC3" w:rsidP="00FE2AC3">
      <w:pPr>
        <w:spacing w:line="280" w:lineRule="exact"/>
        <w:rPr>
          <w:sz w:val="20"/>
          <w:szCs w:val="20"/>
        </w:rPr>
      </w:pPr>
    </w:p>
    <w:p w:rsidR="00FE2AC3" w:rsidRDefault="009B5212" w:rsidP="00FE2AC3">
      <w:pPr>
        <w:numPr>
          <w:ilvl w:val="0"/>
          <w:numId w:val="13"/>
        </w:numPr>
        <w:tabs>
          <w:tab w:val="left" w:pos="492"/>
        </w:tabs>
        <w:spacing w:line="255" w:lineRule="auto"/>
        <w:ind w:left="120" w:right="20" w:hanging="3"/>
        <w:jc w:val="both"/>
        <w:rPr>
          <w:rFonts w:eastAsia="Times New Roman"/>
          <w:sz w:val="24"/>
          <w:szCs w:val="24"/>
        </w:rPr>
      </w:pPr>
      <w:r>
        <w:rPr>
          <w:rFonts w:eastAsia="Times New Roman"/>
          <w:sz w:val="24"/>
          <w:szCs w:val="24"/>
        </w:rPr>
        <w:t>Расходе и издатке за 201</w:t>
      </w:r>
      <w:r>
        <w:rPr>
          <w:rFonts w:eastAsia="Times New Roman"/>
          <w:sz w:val="24"/>
          <w:szCs w:val="24"/>
          <w:lang/>
        </w:rPr>
        <w:t>9</w:t>
      </w:r>
      <w:r w:rsidR="00FE2AC3">
        <w:rPr>
          <w:rFonts w:eastAsia="Times New Roman"/>
          <w:sz w:val="24"/>
          <w:szCs w:val="24"/>
        </w:rPr>
        <w:t>.г</w:t>
      </w:r>
      <w:r w:rsidR="0079429A">
        <w:rPr>
          <w:rFonts w:eastAsia="Times New Roman"/>
          <w:sz w:val="24"/>
          <w:szCs w:val="24"/>
        </w:rPr>
        <w:t>одину</w:t>
      </w:r>
      <w:r w:rsidR="00FE2AC3">
        <w:rPr>
          <w:rFonts w:eastAsia="Times New Roman"/>
          <w:sz w:val="24"/>
          <w:szCs w:val="24"/>
        </w:rPr>
        <w:t xml:space="preserve"> и две наредне године, исказане по буџетској класификацији (у складу са обрасцима који су саставни део овог упутства), као и по програмској класификацији</w:t>
      </w:r>
      <w:r w:rsidR="003B524F">
        <w:rPr>
          <w:rFonts w:eastAsia="Times New Roman"/>
          <w:sz w:val="24"/>
          <w:szCs w:val="24"/>
        </w:rPr>
        <w:t xml:space="preserve"> у складу са чланом 37.став 2.Закона о буџетском систему</w:t>
      </w:r>
      <w:r w:rsidR="00FE2AC3">
        <w:rPr>
          <w:rFonts w:eastAsia="Times New Roman"/>
          <w:sz w:val="24"/>
          <w:szCs w:val="24"/>
        </w:rPr>
        <w:t>;</w:t>
      </w:r>
    </w:p>
    <w:p w:rsidR="00FE2AC3" w:rsidRDefault="00FE2AC3" w:rsidP="00FE2AC3">
      <w:pPr>
        <w:spacing w:line="68" w:lineRule="exact"/>
        <w:rPr>
          <w:rFonts w:eastAsia="Times New Roman"/>
          <w:sz w:val="24"/>
          <w:szCs w:val="24"/>
        </w:rPr>
      </w:pPr>
    </w:p>
    <w:p w:rsidR="00FE2AC3" w:rsidRDefault="00FE2AC3" w:rsidP="00FE2AC3">
      <w:pPr>
        <w:numPr>
          <w:ilvl w:val="0"/>
          <w:numId w:val="13"/>
        </w:numPr>
        <w:tabs>
          <w:tab w:val="left" w:pos="380"/>
        </w:tabs>
        <w:ind w:left="380" w:hanging="263"/>
        <w:rPr>
          <w:rFonts w:eastAsia="Times New Roman"/>
          <w:sz w:val="24"/>
          <w:szCs w:val="24"/>
        </w:rPr>
      </w:pPr>
      <w:r>
        <w:rPr>
          <w:rFonts w:eastAsia="Times New Roman"/>
          <w:sz w:val="24"/>
          <w:szCs w:val="24"/>
        </w:rPr>
        <w:t>Детаљно писано образложење расхода и издатака, као и извора финансирања;</w:t>
      </w:r>
    </w:p>
    <w:p w:rsidR="00FE2AC3" w:rsidRDefault="00FE2AC3" w:rsidP="00FE2AC3">
      <w:pPr>
        <w:spacing w:line="120" w:lineRule="exact"/>
        <w:rPr>
          <w:rFonts w:eastAsia="Times New Roman"/>
          <w:sz w:val="24"/>
          <w:szCs w:val="24"/>
        </w:rPr>
      </w:pPr>
    </w:p>
    <w:p w:rsidR="00FE2AC3" w:rsidRDefault="00FE2AC3" w:rsidP="00FE2AC3">
      <w:pPr>
        <w:numPr>
          <w:ilvl w:val="0"/>
          <w:numId w:val="13"/>
        </w:numPr>
        <w:tabs>
          <w:tab w:val="left" w:pos="380"/>
        </w:tabs>
        <w:ind w:left="380" w:hanging="263"/>
        <w:rPr>
          <w:rFonts w:eastAsia="Times New Roman"/>
          <w:sz w:val="24"/>
          <w:szCs w:val="24"/>
        </w:rPr>
      </w:pPr>
      <w:r>
        <w:rPr>
          <w:rFonts w:eastAsia="Times New Roman"/>
          <w:sz w:val="24"/>
          <w:szCs w:val="24"/>
        </w:rPr>
        <w:t>Детаљно писана израда програмског дела буџета;</w:t>
      </w:r>
    </w:p>
    <w:p w:rsidR="00FE2AC3" w:rsidRDefault="00FE2AC3" w:rsidP="00FE2AC3">
      <w:pPr>
        <w:spacing w:line="120" w:lineRule="exact"/>
        <w:rPr>
          <w:rFonts w:eastAsia="Times New Roman"/>
          <w:sz w:val="24"/>
          <w:szCs w:val="24"/>
        </w:rPr>
      </w:pPr>
    </w:p>
    <w:p w:rsidR="00FE2AC3" w:rsidRDefault="00FE2AC3" w:rsidP="00FE2AC3">
      <w:pPr>
        <w:numPr>
          <w:ilvl w:val="0"/>
          <w:numId w:val="13"/>
        </w:numPr>
        <w:tabs>
          <w:tab w:val="left" w:pos="380"/>
        </w:tabs>
        <w:ind w:left="380" w:hanging="263"/>
        <w:rPr>
          <w:rFonts w:eastAsia="Times New Roman"/>
          <w:sz w:val="24"/>
          <w:szCs w:val="24"/>
        </w:rPr>
      </w:pPr>
      <w:r>
        <w:rPr>
          <w:rFonts w:eastAsia="Times New Roman"/>
          <w:sz w:val="24"/>
          <w:szCs w:val="24"/>
        </w:rPr>
        <w:t>Предлог капиталних пројеката (по обрасцу који је саставни део овог упутства);</w:t>
      </w:r>
    </w:p>
    <w:p w:rsidR="00FE2AC3" w:rsidRDefault="00FE2AC3" w:rsidP="00FE2AC3">
      <w:pPr>
        <w:spacing w:line="118" w:lineRule="exact"/>
        <w:rPr>
          <w:rFonts w:eastAsia="Times New Roman"/>
          <w:sz w:val="24"/>
          <w:szCs w:val="24"/>
        </w:rPr>
      </w:pPr>
    </w:p>
    <w:p w:rsidR="00FE2AC3" w:rsidRPr="0020349E" w:rsidRDefault="0079429A" w:rsidP="0020349E">
      <w:pPr>
        <w:numPr>
          <w:ilvl w:val="0"/>
          <w:numId w:val="13"/>
        </w:numPr>
        <w:tabs>
          <w:tab w:val="left" w:pos="415"/>
        </w:tabs>
        <w:spacing w:line="247" w:lineRule="auto"/>
        <w:ind w:left="120" w:right="20" w:hanging="3"/>
        <w:jc w:val="both"/>
        <w:rPr>
          <w:rFonts w:eastAsia="Times New Roman"/>
          <w:sz w:val="24"/>
          <w:szCs w:val="24"/>
        </w:rPr>
      </w:pPr>
      <w:r>
        <w:rPr>
          <w:rFonts w:eastAsia="Times New Roman"/>
          <w:sz w:val="24"/>
          <w:szCs w:val="24"/>
        </w:rPr>
        <w:t>Предлог проје</w:t>
      </w:r>
      <w:r w:rsidR="00FE2AC3">
        <w:rPr>
          <w:rFonts w:eastAsia="Times New Roman"/>
          <w:sz w:val="24"/>
          <w:szCs w:val="24"/>
        </w:rPr>
        <w:t>ката развојне по</w:t>
      </w:r>
      <w:r w:rsidR="009B5212">
        <w:rPr>
          <w:rFonts w:eastAsia="Times New Roman"/>
          <w:sz w:val="24"/>
          <w:szCs w:val="24"/>
        </w:rPr>
        <w:t>моћи ЕУ који се планирају у 201</w:t>
      </w:r>
      <w:r w:rsidR="009B5212">
        <w:rPr>
          <w:rFonts w:eastAsia="Times New Roman"/>
          <w:sz w:val="24"/>
          <w:szCs w:val="24"/>
          <w:lang/>
        </w:rPr>
        <w:t>9</w:t>
      </w:r>
      <w:r w:rsidR="00FE2AC3">
        <w:rPr>
          <w:rFonts w:eastAsia="Times New Roman"/>
          <w:sz w:val="24"/>
          <w:szCs w:val="24"/>
        </w:rPr>
        <w:t>. години, односно пројекти</w:t>
      </w:r>
      <w:r w:rsidR="009B5212">
        <w:rPr>
          <w:rFonts w:eastAsia="Times New Roman"/>
          <w:sz w:val="24"/>
          <w:szCs w:val="24"/>
        </w:rPr>
        <w:t xml:space="preserve"> који ће бити реализовани у 201</w:t>
      </w:r>
      <w:r w:rsidR="009B5212">
        <w:rPr>
          <w:rFonts w:eastAsia="Times New Roman"/>
          <w:sz w:val="24"/>
          <w:szCs w:val="24"/>
          <w:lang/>
        </w:rPr>
        <w:t>9</w:t>
      </w:r>
      <w:r w:rsidR="00FE2AC3">
        <w:rPr>
          <w:rFonts w:eastAsia="Times New Roman"/>
          <w:sz w:val="24"/>
          <w:szCs w:val="24"/>
        </w:rPr>
        <w:t>. години и две наредне године (предлог доставити у слободној форми са следећим обавезним елементима: назив пројекта, циљ пројекта, опис пројекта, буџет пројекта, финансијско учешће у пројекту, рокови почетка изавршетка пројекта, носилац пројекта и партнери).</w:t>
      </w:r>
    </w:p>
    <w:p w:rsidR="00FE2AC3" w:rsidRPr="00562CA4" w:rsidRDefault="00FE2AC3" w:rsidP="00562CA4">
      <w:pPr>
        <w:ind w:firstLine="720"/>
        <w:jc w:val="both"/>
        <w:rPr>
          <w:sz w:val="24"/>
          <w:szCs w:val="24"/>
        </w:rPr>
      </w:pPr>
      <w:r w:rsidRPr="008E20ED">
        <w:rPr>
          <w:sz w:val="24"/>
          <w:szCs w:val="24"/>
        </w:rPr>
        <w:t>Предлог финансијског плана директних корисника буџета садржи</w:t>
      </w:r>
      <w:r w:rsidRPr="008E20ED">
        <w:rPr>
          <w:b/>
          <w:sz w:val="24"/>
          <w:szCs w:val="24"/>
        </w:rPr>
        <w:t xml:space="preserve">  шестомесечни извештај о учинку програма</w:t>
      </w:r>
      <w:r w:rsidR="009B5212">
        <w:rPr>
          <w:sz w:val="24"/>
          <w:szCs w:val="24"/>
        </w:rPr>
        <w:t xml:space="preserve"> за период од 01.01.201</w:t>
      </w:r>
      <w:r w:rsidR="009B5212">
        <w:rPr>
          <w:sz w:val="24"/>
          <w:szCs w:val="24"/>
          <w:lang/>
        </w:rPr>
        <w:t>8</w:t>
      </w:r>
      <w:r w:rsidRPr="008E20ED">
        <w:rPr>
          <w:sz w:val="24"/>
          <w:szCs w:val="24"/>
        </w:rPr>
        <w:t>.годи</w:t>
      </w:r>
      <w:r w:rsidR="009B5212">
        <w:rPr>
          <w:sz w:val="24"/>
          <w:szCs w:val="24"/>
        </w:rPr>
        <w:t>не -30.06.201</w:t>
      </w:r>
      <w:r w:rsidR="009B5212">
        <w:rPr>
          <w:sz w:val="24"/>
          <w:szCs w:val="24"/>
          <w:lang/>
        </w:rPr>
        <w:t>8</w:t>
      </w:r>
      <w:r w:rsidRPr="008E20ED">
        <w:rPr>
          <w:sz w:val="24"/>
          <w:szCs w:val="24"/>
        </w:rPr>
        <w:t xml:space="preserve">.године сходно члану </w:t>
      </w:r>
      <w:proofErr w:type="spellStart"/>
      <w:r w:rsidRPr="008E20ED">
        <w:rPr>
          <w:sz w:val="24"/>
          <w:szCs w:val="24"/>
        </w:rPr>
        <w:t>37.став</w:t>
      </w:r>
      <w:proofErr w:type="spellEnd"/>
      <w:r w:rsidRPr="008E20ED">
        <w:rPr>
          <w:sz w:val="24"/>
          <w:szCs w:val="24"/>
        </w:rPr>
        <w:t xml:space="preserve"> </w:t>
      </w:r>
      <w:proofErr w:type="spellStart"/>
      <w:r w:rsidRPr="008E20ED">
        <w:rPr>
          <w:sz w:val="24"/>
          <w:szCs w:val="24"/>
        </w:rPr>
        <w:t>5.Закона</w:t>
      </w:r>
      <w:proofErr w:type="spellEnd"/>
      <w:r w:rsidRPr="008E20ED">
        <w:rPr>
          <w:sz w:val="24"/>
          <w:szCs w:val="24"/>
        </w:rPr>
        <w:t xml:space="preserve"> о буџетском систему. </w:t>
      </w:r>
    </w:p>
    <w:p w:rsidR="00FE2AC3" w:rsidRPr="00562CA4" w:rsidRDefault="00FE2AC3" w:rsidP="00562CA4">
      <w:pPr>
        <w:spacing w:line="246" w:lineRule="auto"/>
        <w:ind w:left="120" w:right="20" w:firstLine="720"/>
        <w:jc w:val="both"/>
        <w:rPr>
          <w:rFonts w:eastAsia="Times New Roman"/>
          <w:sz w:val="24"/>
          <w:szCs w:val="24"/>
        </w:rPr>
      </w:pPr>
      <w:r>
        <w:rPr>
          <w:rFonts w:eastAsia="Times New Roman"/>
          <w:sz w:val="24"/>
          <w:szCs w:val="24"/>
        </w:rPr>
        <w:t xml:space="preserve">Делови предлога финансијског плана састоје се из писаног објашњења, које обухвата и образложење, средњорочну квантификацију и процену ефеката нових политика и инвестиционих приоритета, на основу Упутства за припрему буџета и </w:t>
      </w:r>
      <w:r>
        <w:rPr>
          <w:rFonts w:eastAsia="Times New Roman"/>
          <w:sz w:val="24"/>
          <w:szCs w:val="24"/>
        </w:rPr>
        <w:lastRenderedPageBreak/>
        <w:t>средњорочних планова корисника средстава буџета општине и финансијског захтева (члан 37. Закона о буџетском систему се сходно примењује и на јединице локалне самоуправе и њене кор</w:t>
      </w:r>
      <w:r w:rsidR="00562CA4">
        <w:rPr>
          <w:rFonts w:eastAsia="Times New Roman"/>
          <w:sz w:val="24"/>
          <w:szCs w:val="24"/>
        </w:rPr>
        <w:t>иснике у складу са чланом 41.).</w:t>
      </w:r>
    </w:p>
    <w:p w:rsidR="002D6484" w:rsidRPr="00CC2A3F" w:rsidRDefault="00FE2AC3" w:rsidP="00CD642B">
      <w:pPr>
        <w:spacing w:line="250" w:lineRule="auto"/>
        <w:ind w:left="120" w:firstLine="600"/>
        <w:jc w:val="both"/>
        <w:rPr>
          <w:sz w:val="20"/>
          <w:szCs w:val="20"/>
        </w:rPr>
      </w:pPr>
      <w:r>
        <w:rPr>
          <w:rFonts w:eastAsia="Times New Roman"/>
          <w:sz w:val="24"/>
          <w:szCs w:val="24"/>
        </w:rPr>
        <w:t>Чланом 112. Закона о буџетском систему предвиђено је да се од доношења одлука о буџету локалних власти за 2015. годину уводи програмски буџет. У том смислу постоји обавеза и корисника буџета да припреме и предлоге финансијских планова (као саставног дела програма пословања/рада) по програмском моделу.</w:t>
      </w:r>
      <w:bookmarkStart w:id="5" w:name="page7"/>
      <w:bookmarkEnd w:id="5"/>
      <w:r w:rsidR="00CC2A3F">
        <w:rPr>
          <w:sz w:val="20"/>
          <w:szCs w:val="20"/>
        </w:rPr>
        <w:t xml:space="preserve"> </w:t>
      </w:r>
      <w:r w:rsidR="002D6484" w:rsidRPr="002D6484">
        <w:rPr>
          <w:rFonts w:eastAsia="Times New Roman"/>
          <w:sz w:val="24"/>
          <w:szCs w:val="24"/>
        </w:rPr>
        <w:t>Нарочито је потребно обратити пажњу на шифарник програма, програмских активности и пројеката који су дати у прилогу тог упутства.</w:t>
      </w:r>
    </w:p>
    <w:p w:rsidR="002D6484" w:rsidRDefault="002D6484" w:rsidP="008E20ED">
      <w:pPr>
        <w:spacing w:line="271" w:lineRule="auto"/>
        <w:ind w:right="20" w:firstLine="720"/>
        <w:rPr>
          <w:rFonts w:eastAsia="Times New Roman"/>
          <w:sz w:val="24"/>
          <w:szCs w:val="24"/>
        </w:rPr>
      </w:pPr>
    </w:p>
    <w:p w:rsidR="008E20ED" w:rsidRDefault="008E20ED" w:rsidP="008E20ED">
      <w:pPr>
        <w:spacing w:line="271" w:lineRule="auto"/>
        <w:ind w:right="20" w:firstLine="720"/>
        <w:rPr>
          <w:rFonts w:eastAsia="Times New Roman"/>
          <w:sz w:val="24"/>
          <w:szCs w:val="24"/>
        </w:rPr>
      </w:pPr>
      <w:r w:rsidRPr="00895437">
        <w:rPr>
          <w:rFonts w:eastAsia="Times New Roman"/>
          <w:b/>
          <w:sz w:val="24"/>
          <w:szCs w:val="24"/>
        </w:rPr>
        <w:t>Предлог финансијских планова буџетских корисника садржи следеће табеле и обрасце</w:t>
      </w:r>
      <w:r>
        <w:rPr>
          <w:rFonts w:eastAsia="Times New Roman"/>
          <w:sz w:val="24"/>
          <w:szCs w:val="24"/>
        </w:rPr>
        <w:t>:</w:t>
      </w:r>
    </w:p>
    <w:p w:rsidR="001F3758" w:rsidRPr="001F3758" w:rsidRDefault="001F3758" w:rsidP="001F3758">
      <w:pPr>
        <w:spacing w:line="271" w:lineRule="auto"/>
        <w:ind w:right="20" w:firstLine="284"/>
        <w:rPr>
          <w:sz w:val="24"/>
          <w:szCs w:val="24"/>
        </w:rPr>
      </w:pPr>
    </w:p>
    <w:p w:rsidR="001F3758" w:rsidRPr="001F3758" w:rsidRDefault="001F3758" w:rsidP="00771A18">
      <w:pPr>
        <w:spacing w:line="271" w:lineRule="auto"/>
        <w:ind w:right="23" w:firstLine="709"/>
        <w:rPr>
          <w:sz w:val="24"/>
          <w:szCs w:val="24"/>
        </w:rPr>
      </w:pPr>
      <w:r w:rsidRPr="001F3758">
        <w:rPr>
          <w:sz w:val="24"/>
          <w:szCs w:val="24"/>
        </w:rPr>
        <w:t>•</w:t>
      </w:r>
      <w:r w:rsidRPr="001F3758">
        <w:rPr>
          <w:sz w:val="24"/>
          <w:szCs w:val="24"/>
        </w:rPr>
        <w:tab/>
        <w:t>Табела 1 – Програм</w:t>
      </w:r>
    </w:p>
    <w:p w:rsidR="001F3758" w:rsidRPr="001F3758" w:rsidRDefault="001F3758" w:rsidP="00771A18">
      <w:pPr>
        <w:spacing w:line="271" w:lineRule="auto"/>
        <w:ind w:right="23" w:firstLine="709"/>
        <w:rPr>
          <w:sz w:val="24"/>
          <w:szCs w:val="24"/>
        </w:rPr>
      </w:pPr>
      <w:r w:rsidRPr="001F3758">
        <w:rPr>
          <w:sz w:val="24"/>
          <w:szCs w:val="24"/>
        </w:rPr>
        <w:t>•</w:t>
      </w:r>
      <w:r w:rsidRPr="001F3758">
        <w:rPr>
          <w:sz w:val="24"/>
          <w:szCs w:val="24"/>
        </w:rPr>
        <w:tab/>
        <w:t>Табела 2 – Програмска активност</w:t>
      </w:r>
    </w:p>
    <w:p w:rsidR="001F3758" w:rsidRPr="001F3758" w:rsidRDefault="001F3758" w:rsidP="001F3758">
      <w:pPr>
        <w:numPr>
          <w:ilvl w:val="0"/>
          <w:numId w:val="14"/>
        </w:numPr>
        <w:tabs>
          <w:tab w:val="left" w:pos="720"/>
        </w:tabs>
        <w:spacing w:line="274" w:lineRule="auto"/>
        <w:ind w:left="720"/>
        <w:rPr>
          <w:rFonts w:ascii="Arial" w:eastAsia="Arial" w:hAnsi="Arial" w:cs="Arial"/>
          <w:sz w:val="24"/>
          <w:szCs w:val="24"/>
        </w:rPr>
      </w:pPr>
      <w:r w:rsidRPr="001F3758">
        <w:rPr>
          <w:sz w:val="24"/>
          <w:szCs w:val="24"/>
        </w:rPr>
        <w:t>Табела 3 – Пројекат</w:t>
      </w:r>
    </w:p>
    <w:p w:rsidR="001F3758" w:rsidRPr="001F3758" w:rsidRDefault="001F3758" w:rsidP="001F3758">
      <w:pPr>
        <w:numPr>
          <w:ilvl w:val="0"/>
          <w:numId w:val="14"/>
        </w:numPr>
        <w:tabs>
          <w:tab w:val="left" w:pos="720"/>
        </w:tabs>
        <w:spacing w:line="274" w:lineRule="auto"/>
        <w:ind w:left="720"/>
        <w:rPr>
          <w:rFonts w:ascii="Arial" w:eastAsia="Arial" w:hAnsi="Arial" w:cs="Arial"/>
          <w:sz w:val="24"/>
          <w:szCs w:val="24"/>
        </w:rPr>
      </w:pPr>
      <w:r w:rsidRPr="001F3758">
        <w:rPr>
          <w:rFonts w:eastAsia="Times New Roman"/>
          <w:bCs/>
          <w:sz w:val="24"/>
          <w:szCs w:val="24"/>
        </w:rPr>
        <w:t xml:space="preserve">Табела 4 – Захтев за </w:t>
      </w:r>
      <w:r w:rsidR="003B524F">
        <w:rPr>
          <w:rFonts w:eastAsia="Times New Roman"/>
          <w:bCs/>
          <w:sz w:val="24"/>
          <w:szCs w:val="24"/>
        </w:rPr>
        <w:t>додатна средства</w:t>
      </w:r>
      <w:r w:rsidRPr="001F3758">
        <w:rPr>
          <w:rFonts w:eastAsia="Times New Roman"/>
          <w:sz w:val="24"/>
          <w:szCs w:val="24"/>
        </w:rPr>
        <w:t>,</w:t>
      </w:r>
      <w:r w:rsidR="0006374C">
        <w:rPr>
          <w:rFonts w:eastAsia="Times New Roman"/>
          <w:sz w:val="24"/>
          <w:szCs w:val="24"/>
        </w:rPr>
        <w:t>програмска активност/пројекат</w:t>
      </w:r>
      <w:r w:rsidRPr="001F3758">
        <w:rPr>
          <w:rFonts w:eastAsia="Times New Roman"/>
          <w:sz w:val="24"/>
          <w:szCs w:val="24"/>
        </w:rPr>
        <w:t>;</w:t>
      </w:r>
    </w:p>
    <w:p w:rsidR="008E20ED" w:rsidRPr="00771A18" w:rsidRDefault="001F3758" w:rsidP="00771A18">
      <w:pPr>
        <w:numPr>
          <w:ilvl w:val="0"/>
          <w:numId w:val="14"/>
        </w:numPr>
        <w:tabs>
          <w:tab w:val="left" w:pos="720"/>
        </w:tabs>
        <w:ind w:firstLine="720"/>
        <w:rPr>
          <w:rFonts w:ascii="Arial" w:eastAsia="Arial" w:hAnsi="Arial" w:cs="Arial"/>
          <w:sz w:val="24"/>
          <w:szCs w:val="24"/>
        </w:rPr>
      </w:pPr>
      <w:r w:rsidRPr="001F3758">
        <w:rPr>
          <w:rFonts w:eastAsia="Times New Roman"/>
          <w:bCs/>
          <w:sz w:val="24"/>
          <w:szCs w:val="24"/>
        </w:rPr>
        <w:t>Табела 5 – Средства за плате</w:t>
      </w:r>
      <w:r w:rsidR="0006374C">
        <w:rPr>
          <w:rFonts w:eastAsia="Times New Roman"/>
          <w:bCs/>
          <w:sz w:val="24"/>
          <w:szCs w:val="24"/>
        </w:rPr>
        <w:t xml:space="preserve"> и број запослених</w:t>
      </w:r>
      <w:r w:rsidRPr="001F3758">
        <w:rPr>
          <w:rFonts w:eastAsia="Times New Roman"/>
          <w:bCs/>
          <w:sz w:val="24"/>
          <w:szCs w:val="24"/>
        </w:rPr>
        <w:t>;</w:t>
      </w:r>
    </w:p>
    <w:p w:rsidR="00771A18" w:rsidRPr="00771A18" w:rsidRDefault="001F3758" w:rsidP="00771A18">
      <w:pPr>
        <w:numPr>
          <w:ilvl w:val="0"/>
          <w:numId w:val="14"/>
        </w:numPr>
        <w:tabs>
          <w:tab w:val="left" w:pos="720"/>
        </w:tabs>
        <w:ind w:firstLine="720"/>
        <w:rPr>
          <w:rFonts w:ascii="Arial" w:eastAsia="Arial" w:hAnsi="Arial" w:cs="Arial"/>
          <w:sz w:val="24"/>
          <w:szCs w:val="24"/>
        </w:rPr>
      </w:pPr>
      <w:r w:rsidRPr="001F3758">
        <w:rPr>
          <w:rFonts w:eastAsia="Times New Roman"/>
          <w:bCs/>
          <w:sz w:val="24"/>
          <w:szCs w:val="24"/>
        </w:rPr>
        <w:t>Табела 6</w:t>
      </w:r>
      <w:r w:rsidR="008E20ED" w:rsidRPr="001F3758">
        <w:rPr>
          <w:rFonts w:eastAsia="Times New Roman"/>
          <w:bCs/>
          <w:sz w:val="24"/>
          <w:szCs w:val="24"/>
        </w:rPr>
        <w:t xml:space="preserve"> – </w:t>
      </w:r>
      <w:r w:rsidRPr="001F3758">
        <w:rPr>
          <w:rFonts w:eastAsia="Times New Roman"/>
          <w:bCs/>
          <w:sz w:val="24"/>
          <w:szCs w:val="24"/>
        </w:rPr>
        <w:t>Преглед к</w:t>
      </w:r>
      <w:r w:rsidR="008E20ED" w:rsidRPr="001F3758">
        <w:rPr>
          <w:rFonts w:eastAsia="Times New Roman"/>
          <w:bCs/>
          <w:sz w:val="24"/>
          <w:szCs w:val="24"/>
        </w:rPr>
        <w:t>апитални</w:t>
      </w:r>
      <w:r w:rsidRPr="001F3758">
        <w:rPr>
          <w:rFonts w:eastAsia="Times New Roman"/>
          <w:bCs/>
          <w:sz w:val="24"/>
          <w:szCs w:val="24"/>
        </w:rPr>
        <w:t>х  пројеката</w:t>
      </w:r>
      <w:r w:rsidR="008E20ED" w:rsidRPr="001F3758">
        <w:rPr>
          <w:rFonts w:eastAsia="Times New Roman"/>
          <w:bCs/>
          <w:sz w:val="24"/>
          <w:szCs w:val="24"/>
        </w:rPr>
        <w:t xml:space="preserve"> у периоду 2018 – 2020. године;</w:t>
      </w:r>
    </w:p>
    <w:p w:rsidR="00771A18" w:rsidRPr="00771A18" w:rsidRDefault="00771A18" w:rsidP="00771A18">
      <w:pPr>
        <w:numPr>
          <w:ilvl w:val="0"/>
          <w:numId w:val="14"/>
        </w:numPr>
        <w:tabs>
          <w:tab w:val="left" w:pos="720"/>
        </w:tabs>
        <w:ind w:firstLine="720"/>
        <w:rPr>
          <w:rFonts w:eastAsia="Arial"/>
          <w:sz w:val="24"/>
          <w:szCs w:val="24"/>
        </w:rPr>
      </w:pPr>
      <w:r w:rsidRPr="00771A18">
        <w:rPr>
          <w:rFonts w:eastAsia="Arial"/>
          <w:sz w:val="24"/>
          <w:szCs w:val="24"/>
        </w:rPr>
        <w:t>Табела 7-Комисије и уговори</w:t>
      </w:r>
    </w:p>
    <w:p w:rsidR="001F3758" w:rsidRPr="001F3758" w:rsidRDefault="001F3758" w:rsidP="00771A18">
      <w:pPr>
        <w:numPr>
          <w:ilvl w:val="0"/>
          <w:numId w:val="14"/>
        </w:numPr>
        <w:tabs>
          <w:tab w:val="left" w:pos="720"/>
        </w:tabs>
        <w:ind w:firstLine="720"/>
        <w:rPr>
          <w:rFonts w:ascii="Arial" w:eastAsia="Arial" w:hAnsi="Arial" w:cs="Arial"/>
          <w:sz w:val="24"/>
          <w:szCs w:val="24"/>
        </w:rPr>
      </w:pPr>
      <w:r w:rsidRPr="001F3758">
        <w:rPr>
          <w:rFonts w:eastAsia="Times New Roman"/>
          <w:bCs/>
          <w:sz w:val="24"/>
          <w:szCs w:val="24"/>
        </w:rPr>
        <w:t>писаног образложења</w:t>
      </w:r>
    </w:p>
    <w:p w:rsidR="008E20ED" w:rsidRPr="00810E3F" w:rsidRDefault="008E20ED" w:rsidP="008E20ED">
      <w:pPr>
        <w:spacing w:line="391" w:lineRule="exact"/>
        <w:rPr>
          <w:rFonts w:ascii="Arial" w:eastAsia="Arial" w:hAnsi="Arial" w:cs="Arial"/>
          <w:sz w:val="24"/>
          <w:szCs w:val="24"/>
        </w:rPr>
      </w:pPr>
    </w:p>
    <w:p w:rsidR="00D80802" w:rsidRPr="00CD642B" w:rsidRDefault="001F3758" w:rsidP="00CD642B">
      <w:pPr>
        <w:numPr>
          <w:ilvl w:val="1"/>
          <w:numId w:val="14"/>
        </w:numPr>
        <w:tabs>
          <w:tab w:val="left" w:pos="953"/>
        </w:tabs>
        <w:spacing w:line="258" w:lineRule="auto"/>
        <w:ind w:right="20" w:firstLine="717"/>
        <w:jc w:val="both"/>
        <w:rPr>
          <w:sz w:val="20"/>
          <w:szCs w:val="20"/>
        </w:rPr>
      </w:pPr>
      <w:r>
        <w:rPr>
          <w:rFonts w:eastAsia="Times New Roman"/>
          <w:sz w:val="24"/>
          <w:szCs w:val="24"/>
        </w:rPr>
        <w:t>табели 4</w:t>
      </w:r>
      <w:r w:rsidR="008E20ED">
        <w:rPr>
          <w:rFonts w:eastAsia="Times New Roman"/>
          <w:sz w:val="24"/>
          <w:szCs w:val="24"/>
        </w:rPr>
        <w:t>. дата је могућност за исказивање з</w:t>
      </w:r>
      <w:r w:rsidR="008E20ED">
        <w:rPr>
          <w:rFonts w:eastAsia="Times New Roman"/>
          <w:b/>
          <w:bCs/>
          <w:sz w:val="24"/>
          <w:szCs w:val="24"/>
        </w:rPr>
        <w:t>ахтева за додатна средства</w:t>
      </w:r>
      <w:r w:rsidR="00D80802">
        <w:rPr>
          <w:rFonts w:eastAsia="Times New Roman"/>
          <w:sz w:val="24"/>
          <w:szCs w:val="24"/>
        </w:rPr>
        <w:t xml:space="preserve">, </w:t>
      </w:r>
      <w:r w:rsidR="008E20ED">
        <w:rPr>
          <w:rFonts w:eastAsia="Times New Roman"/>
          <w:sz w:val="24"/>
          <w:szCs w:val="24"/>
        </w:rPr>
        <w:t xml:space="preserve"> </w:t>
      </w:r>
      <w:r w:rsidR="00D80802">
        <w:rPr>
          <w:rFonts w:eastAsia="Times New Roman"/>
          <w:sz w:val="24"/>
          <w:szCs w:val="24"/>
        </w:rPr>
        <w:t xml:space="preserve">за финансирање активности и услуга, које по процени корисника буџетских средстава представљају приоритетне области које треба узети у </w:t>
      </w:r>
      <w:r w:rsidR="00CD642B">
        <w:rPr>
          <w:rFonts w:eastAsia="Times New Roman"/>
          <w:sz w:val="24"/>
          <w:szCs w:val="24"/>
        </w:rPr>
        <w:t>обзир у планирању буџета за 201</w:t>
      </w:r>
      <w:r w:rsidR="00CD642B">
        <w:rPr>
          <w:rFonts w:eastAsia="Times New Roman"/>
          <w:sz w:val="24"/>
          <w:szCs w:val="24"/>
          <w:lang/>
        </w:rPr>
        <w:t>9</w:t>
      </w:r>
      <w:r w:rsidR="00D80802">
        <w:rPr>
          <w:rFonts w:eastAsia="Times New Roman"/>
          <w:sz w:val="24"/>
          <w:szCs w:val="24"/>
        </w:rPr>
        <w:t xml:space="preserve">. годину, а за које нису утврђени обими у довољном износу или нису уопште утврђени. </w:t>
      </w:r>
    </w:p>
    <w:p w:rsidR="008E20ED" w:rsidRPr="003A3FE6" w:rsidRDefault="008C1030" w:rsidP="008C1030">
      <w:pPr>
        <w:tabs>
          <w:tab w:val="left" w:pos="953"/>
        </w:tabs>
        <w:spacing w:line="258" w:lineRule="auto"/>
        <w:ind w:right="20"/>
        <w:jc w:val="both"/>
        <w:rPr>
          <w:sz w:val="20"/>
          <w:szCs w:val="20"/>
        </w:rPr>
      </w:pPr>
      <w:r>
        <w:rPr>
          <w:sz w:val="20"/>
          <w:szCs w:val="20"/>
        </w:rPr>
        <w:tab/>
      </w:r>
      <w:r w:rsidR="008E20ED">
        <w:rPr>
          <w:rFonts w:eastAsia="Times New Roman"/>
          <w:sz w:val="24"/>
          <w:szCs w:val="24"/>
        </w:rPr>
        <w:t xml:space="preserve">Делови наведених предлога финансијских планова састоје се из </w:t>
      </w:r>
      <w:r w:rsidR="008E20ED">
        <w:rPr>
          <w:rFonts w:eastAsia="Times New Roman"/>
          <w:b/>
          <w:bCs/>
          <w:sz w:val="24"/>
          <w:szCs w:val="24"/>
        </w:rPr>
        <w:t>писмeног</w:t>
      </w:r>
      <w:r w:rsidR="00FE2AC3">
        <w:rPr>
          <w:rFonts w:eastAsia="Times New Roman"/>
          <w:b/>
          <w:bCs/>
          <w:sz w:val="24"/>
          <w:szCs w:val="24"/>
        </w:rPr>
        <w:t xml:space="preserve"> </w:t>
      </w:r>
      <w:r w:rsidR="008E20ED">
        <w:rPr>
          <w:rFonts w:eastAsia="Times New Roman"/>
          <w:b/>
          <w:bCs/>
          <w:sz w:val="24"/>
          <w:szCs w:val="24"/>
        </w:rPr>
        <w:t xml:space="preserve">објашњења </w:t>
      </w:r>
      <w:r w:rsidR="008E20ED" w:rsidRPr="00FE2AC3">
        <w:rPr>
          <w:rFonts w:eastAsia="Times New Roman"/>
          <w:b/>
          <w:sz w:val="24"/>
          <w:szCs w:val="24"/>
        </w:rPr>
        <w:t>и</w:t>
      </w:r>
      <w:r w:rsidR="008E20ED">
        <w:rPr>
          <w:rFonts w:eastAsia="Times New Roman"/>
          <w:b/>
          <w:bCs/>
          <w:sz w:val="24"/>
          <w:szCs w:val="24"/>
        </w:rPr>
        <w:t xml:space="preserve"> финансијског захтева</w:t>
      </w:r>
      <w:r w:rsidR="008E20ED">
        <w:rPr>
          <w:rFonts w:eastAsia="Times New Roman"/>
          <w:sz w:val="24"/>
          <w:szCs w:val="24"/>
        </w:rPr>
        <w:t>.</w:t>
      </w:r>
    </w:p>
    <w:p w:rsidR="008E20ED" w:rsidRPr="003A3FE6" w:rsidRDefault="008E20ED" w:rsidP="003A3FE6">
      <w:pPr>
        <w:spacing w:line="255" w:lineRule="auto"/>
        <w:ind w:firstLine="720"/>
        <w:jc w:val="both"/>
        <w:rPr>
          <w:sz w:val="20"/>
          <w:szCs w:val="20"/>
        </w:rPr>
      </w:pPr>
      <w:r>
        <w:rPr>
          <w:rFonts w:eastAsia="Times New Roman"/>
          <w:sz w:val="24"/>
          <w:szCs w:val="24"/>
        </w:rPr>
        <w:t xml:space="preserve">Корисник може поднети више од једног захтева за додатно финансирање. За сваки захтев за додатна средства </w:t>
      </w:r>
      <w:r>
        <w:rPr>
          <w:rFonts w:eastAsia="Times New Roman"/>
          <w:b/>
          <w:bCs/>
          <w:sz w:val="24"/>
          <w:szCs w:val="24"/>
        </w:rPr>
        <w:t>треба доставити појединачно детаљно писано</w:t>
      </w:r>
      <w:r w:rsidR="00711865">
        <w:rPr>
          <w:rFonts w:eastAsia="Times New Roman"/>
          <w:b/>
          <w:bCs/>
          <w:sz w:val="24"/>
          <w:szCs w:val="24"/>
        </w:rPr>
        <w:t xml:space="preserve"> </w:t>
      </w:r>
      <w:r>
        <w:rPr>
          <w:rFonts w:eastAsia="Times New Roman"/>
          <w:b/>
          <w:bCs/>
          <w:sz w:val="24"/>
          <w:szCs w:val="24"/>
        </w:rPr>
        <w:t xml:space="preserve">образложење. </w:t>
      </w:r>
      <w:r>
        <w:rPr>
          <w:rFonts w:eastAsia="Times New Roman"/>
          <w:sz w:val="24"/>
          <w:szCs w:val="24"/>
        </w:rPr>
        <w:t>Сваки од захтева мора бити означен бројем који представља приоритете</w:t>
      </w:r>
      <w:bookmarkStart w:id="6" w:name="page11"/>
      <w:bookmarkEnd w:id="6"/>
      <w:r w:rsidR="00FE2AC3">
        <w:rPr>
          <w:sz w:val="20"/>
          <w:szCs w:val="20"/>
        </w:rPr>
        <w:t xml:space="preserve"> </w:t>
      </w:r>
      <w:r>
        <w:rPr>
          <w:rFonts w:eastAsia="Times New Roman"/>
          <w:sz w:val="24"/>
          <w:szCs w:val="24"/>
        </w:rPr>
        <w:t>тог захтева (нпр. захтев број 1 требало би да означава највиши приоритет корисника буџетских средстава).</w:t>
      </w:r>
      <w:bookmarkStart w:id="7" w:name="page12"/>
      <w:bookmarkEnd w:id="7"/>
    </w:p>
    <w:p w:rsidR="008E20ED" w:rsidRPr="003A3FE6" w:rsidRDefault="008E20ED" w:rsidP="003A3FE6">
      <w:pPr>
        <w:spacing w:line="255" w:lineRule="auto"/>
        <w:ind w:left="3" w:firstLine="720"/>
        <w:jc w:val="both"/>
        <w:rPr>
          <w:sz w:val="20"/>
          <w:szCs w:val="20"/>
        </w:rPr>
      </w:pPr>
      <w:r>
        <w:rPr>
          <w:rFonts w:eastAsia="Times New Roman"/>
          <w:sz w:val="24"/>
          <w:szCs w:val="24"/>
        </w:rPr>
        <w:t>Такође, на основу свеобухватне процене потреба, пројекте је потребно рангирати по приоритетима, у складу са усвојеним стратешким документима, водећи рачуна да приоритет у финансирању имају већ започети пројекти.</w:t>
      </w:r>
    </w:p>
    <w:p w:rsidR="003A3FE6" w:rsidRPr="00C627FB" w:rsidRDefault="008E20ED" w:rsidP="00C627FB">
      <w:pPr>
        <w:spacing w:line="255" w:lineRule="auto"/>
        <w:ind w:left="3" w:firstLine="720"/>
        <w:jc w:val="both"/>
        <w:rPr>
          <w:rFonts w:eastAsia="Times New Roman"/>
          <w:sz w:val="24"/>
          <w:szCs w:val="24"/>
        </w:rPr>
      </w:pPr>
      <w:r>
        <w:rPr>
          <w:rFonts w:eastAsia="Times New Roman"/>
          <w:sz w:val="24"/>
          <w:szCs w:val="24"/>
        </w:rPr>
        <w:t xml:space="preserve">Чланом 22. Закона о буџетском систему дефинисано је да Одлука о буџету и финансијски план директног, односно индиректног корисника буџетских средстава садржи </w:t>
      </w:r>
      <w:r w:rsidRPr="00FE2AC3">
        <w:rPr>
          <w:rFonts w:eastAsia="Times New Roman"/>
          <w:bCs/>
          <w:sz w:val="24"/>
          <w:szCs w:val="24"/>
        </w:rPr>
        <w:t>план сопствених прихода</w:t>
      </w:r>
      <w:r>
        <w:rPr>
          <w:rFonts w:eastAsia="Times New Roman"/>
          <w:sz w:val="24"/>
          <w:szCs w:val="24"/>
        </w:rPr>
        <w:t>, као и план њиховог трошења.</w:t>
      </w:r>
    </w:p>
    <w:p w:rsidR="003A3FE6" w:rsidRPr="003A3FE6" w:rsidRDefault="003A3FE6" w:rsidP="008E20ED">
      <w:pPr>
        <w:spacing w:line="221" w:lineRule="exact"/>
        <w:rPr>
          <w:sz w:val="20"/>
          <w:szCs w:val="20"/>
        </w:rPr>
      </w:pPr>
    </w:p>
    <w:p w:rsidR="003A3FE6" w:rsidRPr="00C627FB" w:rsidRDefault="008E20ED" w:rsidP="00C627FB">
      <w:pPr>
        <w:ind w:firstLine="720"/>
        <w:rPr>
          <w:rFonts w:eastAsia="Times New Roman"/>
          <w:b/>
          <w:bCs/>
          <w:sz w:val="24"/>
          <w:szCs w:val="24"/>
        </w:rPr>
      </w:pPr>
      <w:r>
        <w:rPr>
          <w:rFonts w:eastAsia="Times New Roman"/>
          <w:b/>
          <w:bCs/>
          <w:sz w:val="24"/>
          <w:szCs w:val="24"/>
        </w:rPr>
        <w:t>Напомене везане за попуњавање табелa:</w:t>
      </w:r>
    </w:p>
    <w:p w:rsidR="008E20ED" w:rsidRDefault="008E20ED" w:rsidP="00B66639">
      <w:pPr>
        <w:rPr>
          <w:sz w:val="20"/>
          <w:szCs w:val="20"/>
        </w:rPr>
      </w:pPr>
    </w:p>
    <w:p w:rsidR="00B66639" w:rsidRPr="00B66639" w:rsidRDefault="00B66639" w:rsidP="00B66639">
      <w:pPr>
        <w:pStyle w:val="Pasussalistom"/>
        <w:numPr>
          <w:ilvl w:val="0"/>
          <w:numId w:val="18"/>
        </w:numPr>
        <w:ind w:left="284"/>
        <w:jc w:val="both"/>
        <w:rPr>
          <w:sz w:val="20"/>
          <w:szCs w:val="20"/>
        </w:rPr>
      </w:pPr>
      <w:r w:rsidRPr="00CC2A3F">
        <w:rPr>
          <w:rFonts w:eastAsia="Times New Roman"/>
          <w:sz w:val="24"/>
          <w:szCs w:val="24"/>
          <w:u w:val="single"/>
        </w:rPr>
        <w:t>Индиректни корисници</w:t>
      </w:r>
      <w:r w:rsidRPr="00B66639">
        <w:rPr>
          <w:rFonts w:eastAsia="Times New Roman"/>
          <w:sz w:val="24"/>
          <w:szCs w:val="24"/>
        </w:rPr>
        <w:t xml:space="preserve"> буџета  попуњавају </w:t>
      </w:r>
      <w:r>
        <w:rPr>
          <w:rFonts w:eastAsia="Times New Roman"/>
          <w:sz w:val="24"/>
          <w:szCs w:val="24"/>
        </w:rPr>
        <w:t>О</w:t>
      </w:r>
      <w:r w:rsidRPr="00B66639">
        <w:rPr>
          <w:rFonts w:eastAsia="Times New Roman"/>
          <w:sz w:val="24"/>
          <w:szCs w:val="24"/>
        </w:rPr>
        <w:t>бразац  2-</w:t>
      </w:r>
      <w:r>
        <w:rPr>
          <w:rFonts w:eastAsia="Times New Roman"/>
          <w:sz w:val="24"/>
          <w:szCs w:val="24"/>
        </w:rPr>
        <w:t>П</w:t>
      </w:r>
      <w:r w:rsidRPr="00B66639">
        <w:rPr>
          <w:rFonts w:eastAsia="Times New Roman"/>
          <w:sz w:val="24"/>
          <w:szCs w:val="24"/>
        </w:rPr>
        <w:t xml:space="preserve">ројектна активност и </w:t>
      </w:r>
      <w:r>
        <w:rPr>
          <w:rFonts w:eastAsia="Times New Roman"/>
          <w:sz w:val="24"/>
          <w:szCs w:val="24"/>
        </w:rPr>
        <w:t>О</w:t>
      </w:r>
      <w:r w:rsidRPr="00B66639">
        <w:rPr>
          <w:rFonts w:eastAsia="Times New Roman"/>
          <w:sz w:val="24"/>
          <w:szCs w:val="24"/>
        </w:rPr>
        <w:t>бразац 3-</w:t>
      </w:r>
      <w:r>
        <w:rPr>
          <w:rFonts w:eastAsia="Times New Roman"/>
          <w:sz w:val="24"/>
          <w:szCs w:val="24"/>
        </w:rPr>
        <w:t>П</w:t>
      </w:r>
      <w:r w:rsidRPr="00B66639">
        <w:rPr>
          <w:rFonts w:eastAsia="Times New Roman"/>
          <w:sz w:val="24"/>
          <w:szCs w:val="24"/>
        </w:rPr>
        <w:t>ројекат односно ови обрасци се односе на оне активности/пројекте који индиректни корисници реализују</w:t>
      </w:r>
    </w:p>
    <w:p w:rsidR="00B66639" w:rsidRPr="008E0793" w:rsidRDefault="00B66639" w:rsidP="00B66639">
      <w:pPr>
        <w:pStyle w:val="Pasussalistom"/>
        <w:numPr>
          <w:ilvl w:val="0"/>
          <w:numId w:val="18"/>
        </w:numPr>
        <w:ind w:left="284"/>
        <w:jc w:val="both"/>
        <w:rPr>
          <w:sz w:val="24"/>
          <w:szCs w:val="24"/>
        </w:rPr>
      </w:pPr>
      <w:r w:rsidRPr="00CC2A3F">
        <w:rPr>
          <w:sz w:val="24"/>
          <w:szCs w:val="24"/>
          <w:u w:val="single"/>
        </w:rPr>
        <w:t>Директни корисник буџета</w:t>
      </w:r>
      <w:r w:rsidRPr="00B66639">
        <w:rPr>
          <w:sz w:val="24"/>
          <w:szCs w:val="24"/>
        </w:rPr>
        <w:t xml:space="preserve"> попуњава </w:t>
      </w:r>
      <w:r>
        <w:rPr>
          <w:sz w:val="24"/>
          <w:szCs w:val="24"/>
        </w:rPr>
        <w:t>О</w:t>
      </w:r>
      <w:r w:rsidRPr="00B66639">
        <w:rPr>
          <w:sz w:val="24"/>
          <w:szCs w:val="24"/>
        </w:rPr>
        <w:t xml:space="preserve">бразац 1-Програм </w:t>
      </w:r>
      <w:r w:rsidR="00711865">
        <w:rPr>
          <w:sz w:val="24"/>
          <w:szCs w:val="24"/>
        </w:rPr>
        <w:t xml:space="preserve">и </w:t>
      </w:r>
      <w:r>
        <w:rPr>
          <w:sz w:val="24"/>
          <w:szCs w:val="24"/>
        </w:rPr>
        <w:t>дефинише циљеве и индикаторе</w:t>
      </w:r>
      <w:r w:rsidR="00711865">
        <w:rPr>
          <w:sz w:val="24"/>
          <w:szCs w:val="24"/>
        </w:rPr>
        <w:t xml:space="preserve"> </w:t>
      </w:r>
      <w:r>
        <w:rPr>
          <w:sz w:val="24"/>
          <w:szCs w:val="24"/>
        </w:rPr>
        <w:t>на нивоу програма уз уважавање достављени</w:t>
      </w:r>
      <w:r w:rsidR="00711865">
        <w:rPr>
          <w:sz w:val="24"/>
          <w:szCs w:val="24"/>
        </w:rPr>
        <w:t>х</w:t>
      </w:r>
      <w:r>
        <w:rPr>
          <w:sz w:val="24"/>
          <w:szCs w:val="24"/>
        </w:rPr>
        <w:t xml:space="preserve"> предлога програмских активности и пројеката од стране индиректних корисника. Директни корисник у оквиру Обрасца 2-</w:t>
      </w:r>
      <w:r w:rsidR="002D729E">
        <w:rPr>
          <w:sz w:val="24"/>
          <w:szCs w:val="24"/>
        </w:rPr>
        <w:t xml:space="preserve"> </w:t>
      </w:r>
      <w:r>
        <w:rPr>
          <w:sz w:val="24"/>
          <w:szCs w:val="24"/>
        </w:rPr>
        <w:t xml:space="preserve">Програм обједињује предлоге програмских активности/пројеката индиректних корисника.  </w:t>
      </w:r>
    </w:p>
    <w:p w:rsidR="008E0793" w:rsidRPr="00B66639" w:rsidRDefault="008E0793" w:rsidP="008E0793">
      <w:pPr>
        <w:pStyle w:val="Pasussalistom"/>
        <w:ind w:left="284"/>
        <w:jc w:val="both"/>
        <w:rPr>
          <w:sz w:val="24"/>
          <w:szCs w:val="24"/>
        </w:rPr>
      </w:pPr>
    </w:p>
    <w:p w:rsidR="008E20ED" w:rsidRDefault="008E20ED" w:rsidP="00B66639">
      <w:pPr>
        <w:numPr>
          <w:ilvl w:val="0"/>
          <w:numId w:val="18"/>
        </w:numPr>
        <w:tabs>
          <w:tab w:val="left" w:pos="284"/>
        </w:tabs>
        <w:spacing w:line="251" w:lineRule="auto"/>
        <w:ind w:left="683" w:hanging="399"/>
        <w:rPr>
          <w:rFonts w:eastAsia="Times New Roman"/>
          <w:sz w:val="24"/>
          <w:szCs w:val="24"/>
        </w:rPr>
      </w:pPr>
      <w:r>
        <w:rPr>
          <w:rFonts w:eastAsia="Times New Roman"/>
          <w:sz w:val="24"/>
          <w:szCs w:val="24"/>
        </w:rPr>
        <w:t>Табеле се достављају у штампаном облику, са печатом и потписом функционера буџетског корисника;</w:t>
      </w:r>
    </w:p>
    <w:p w:rsidR="008E20ED" w:rsidRPr="00567605" w:rsidRDefault="008E20ED" w:rsidP="00567605">
      <w:pPr>
        <w:numPr>
          <w:ilvl w:val="0"/>
          <w:numId w:val="18"/>
        </w:numPr>
        <w:tabs>
          <w:tab w:val="left" w:pos="683"/>
        </w:tabs>
        <w:ind w:left="683" w:hanging="323"/>
        <w:rPr>
          <w:rFonts w:eastAsia="Times New Roman"/>
          <w:sz w:val="24"/>
          <w:szCs w:val="24"/>
        </w:rPr>
      </w:pPr>
      <w:r>
        <w:rPr>
          <w:rFonts w:eastAsia="Times New Roman"/>
          <w:sz w:val="24"/>
          <w:szCs w:val="24"/>
        </w:rPr>
        <w:t>У табелама се попуњавају само бела поља;</w:t>
      </w:r>
    </w:p>
    <w:p w:rsidR="008E20ED" w:rsidRPr="00FE2AC3" w:rsidRDefault="008E20ED" w:rsidP="008E20ED">
      <w:pPr>
        <w:numPr>
          <w:ilvl w:val="0"/>
          <w:numId w:val="18"/>
        </w:numPr>
        <w:tabs>
          <w:tab w:val="left" w:pos="683"/>
        </w:tabs>
        <w:spacing w:line="248" w:lineRule="auto"/>
        <w:ind w:left="683" w:hanging="323"/>
        <w:rPr>
          <w:rFonts w:eastAsia="Times New Roman"/>
          <w:sz w:val="24"/>
          <w:szCs w:val="24"/>
        </w:rPr>
      </w:pPr>
      <w:r>
        <w:rPr>
          <w:rFonts w:eastAsia="Times New Roman"/>
          <w:sz w:val="24"/>
          <w:szCs w:val="24"/>
        </w:rPr>
        <w:t>Не уносе се зарези, односно тачке, с обзиром да су поља форматирана тако да се ови сепаратори аутоматски додељују по уношењу цифре.</w:t>
      </w:r>
    </w:p>
    <w:p w:rsidR="00FE2AC3" w:rsidRDefault="00FE2AC3" w:rsidP="00FE2AC3">
      <w:pPr>
        <w:tabs>
          <w:tab w:val="left" w:pos="683"/>
        </w:tabs>
        <w:spacing w:line="248" w:lineRule="auto"/>
        <w:ind w:left="683"/>
        <w:rPr>
          <w:rFonts w:eastAsia="Times New Roman"/>
          <w:sz w:val="24"/>
          <w:szCs w:val="24"/>
        </w:rPr>
      </w:pPr>
    </w:p>
    <w:p w:rsidR="008E20ED" w:rsidRPr="00D80802" w:rsidRDefault="008E20ED" w:rsidP="00D80802">
      <w:pPr>
        <w:spacing w:line="258" w:lineRule="auto"/>
        <w:ind w:left="3" w:right="20" w:firstLine="680"/>
        <w:jc w:val="both"/>
        <w:rPr>
          <w:rFonts w:eastAsia="Times New Roman"/>
          <w:color w:val="000000"/>
          <w:sz w:val="24"/>
          <w:szCs w:val="24"/>
        </w:rPr>
      </w:pPr>
      <w:r w:rsidRPr="0093205D">
        <w:rPr>
          <w:rFonts w:eastAsia="Times New Roman"/>
          <w:color w:val="000000"/>
          <w:sz w:val="24"/>
          <w:szCs w:val="24"/>
        </w:rPr>
        <w:t>Упућујемо кориснике буџета Општине Мало Црниће да се Упутство за  припрему програмског буџета,</w:t>
      </w:r>
      <w:r w:rsidR="00B66639">
        <w:rPr>
          <w:rFonts w:eastAsia="Times New Roman"/>
          <w:color w:val="000000"/>
          <w:sz w:val="24"/>
          <w:szCs w:val="24"/>
        </w:rPr>
        <w:t xml:space="preserve"> </w:t>
      </w:r>
      <w:r w:rsidRPr="0093205D">
        <w:rPr>
          <w:rFonts w:eastAsia="Times New Roman"/>
          <w:color w:val="000000"/>
          <w:sz w:val="24"/>
          <w:szCs w:val="24"/>
        </w:rPr>
        <w:t xml:space="preserve">Циљеви програма и програмских активности и листа униформних индикатора за програмску структуру буџета - предлог за градове, општине и градске општине у  Републици Србији као и обрасци </w:t>
      </w:r>
      <w:r>
        <w:rPr>
          <w:rFonts w:eastAsia="Times New Roman"/>
          <w:color w:val="000000"/>
          <w:sz w:val="24"/>
          <w:szCs w:val="24"/>
        </w:rPr>
        <w:t xml:space="preserve">и табеле </w:t>
      </w:r>
      <w:r w:rsidRPr="0093205D">
        <w:rPr>
          <w:rFonts w:eastAsia="Times New Roman"/>
          <w:color w:val="000000"/>
          <w:sz w:val="24"/>
          <w:szCs w:val="24"/>
        </w:rPr>
        <w:t xml:space="preserve">за израду Предлога планова буџетских корисника </w:t>
      </w:r>
      <w:r w:rsidR="00D80802" w:rsidRPr="0093205D">
        <w:rPr>
          <w:rFonts w:eastAsia="Times New Roman"/>
          <w:color w:val="000000"/>
          <w:sz w:val="24"/>
          <w:szCs w:val="24"/>
        </w:rPr>
        <w:t xml:space="preserve">налазе на сајту </w:t>
      </w:r>
      <w:r w:rsidRPr="0093205D">
        <w:rPr>
          <w:rFonts w:eastAsia="Times New Roman"/>
          <w:color w:val="000000"/>
          <w:sz w:val="24"/>
          <w:szCs w:val="24"/>
        </w:rPr>
        <w:t>општине Мало Црниће (</w:t>
      </w:r>
      <w:proofErr w:type="spellStart"/>
      <w:r w:rsidR="00CD642B">
        <w:rPr>
          <w:rFonts w:eastAsia="Times New Roman"/>
          <w:color w:val="000000"/>
          <w:sz w:val="24"/>
          <w:szCs w:val="24"/>
          <w:u w:val="single"/>
        </w:rPr>
        <w:t>www.opstinamalocrnice</w:t>
      </w:r>
      <w:proofErr w:type="spellEnd"/>
      <w:r w:rsidR="00CD642B">
        <w:rPr>
          <w:rFonts w:eastAsia="Times New Roman"/>
          <w:color w:val="000000"/>
          <w:sz w:val="24"/>
          <w:szCs w:val="24"/>
          <w:u w:val="single"/>
        </w:rPr>
        <w:t>.</w:t>
      </w:r>
      <w:r w:rsidR="00CD642B">
        <w:rPr>
          <w:rFonts w:eastAsia="Times New Roman"/>
          <w:color w:val="000000"/>
          <w:sz w:val="24"/>
          <w:szCs w:val="24"/>
          <w:u w:val="single"/>
          <w:lang/>
        </w:rPr>
        <w:t>rs</w:t>
      </w:r>
      <w:r w:rsidRPr="0093205D">
        <w:rPr>
          <w:rFonts w:eastAsia="Times New Roman"/>
          <w:color w:val="000000"/>
          <w:sz w:val="24"/>
          <w:szCs w:val="24"/>
          <w:u w:val="single"/>
        </w:rPr>
        <w:t xml:space="preserve"> у делу електронски документи/буџет).</w:t>
      </w:r>
    </w:p>
    <w:p w:rsidR="008E20ED" w:rsidRDefault="008E20ED" w:rsidP="008E20ED">
      <w:pPr>
        <w:spacing w:line="220" w:lineRule="exact"/>
        <w:rPr>
          <w:sz w:val="20"/>
          <w:szCs w:val="20"/>
        </w:rPr>
      </w:pPr>
    </w:p>
    <w:p w:rsidR="00514946" w:rsidRPr="00C627FB" w:rsidRDefault="008E20ED" w:rsidP="00C627FB">
      <w:pPr>
        <w:spacing w:line="271" w:lineRule="auto"/>
        <w:ind w:left="3" w:right="20" w:firstLine="680"/>
        <w:jc w:val="both"/>
        <w:rPr>
          <w:rFonts w:eastAsia="Times New Roman"/>
          <w:bCs/>
          <w:sz w:val="24"/>
          <w:szCs w:val="24"/>
        </w:rPr>
      </w:pPr>
      <w:r>
        <w:rPr>
          <w:rFonts w:eastAsia="Times New Roman"/>
          <w:sz w:val="24"/>
          <w:szCs w:val="24"/>
        </w:rPr>
        <w:t xml:space="preserve">Рок за достављање предлога финансијских планова директних и индиректних корисника Одсеку за буџет и трезор је </w:t>
      </w:r>
      <w:r>
        <w:rPr>
          <w:rFonts w:eastAsia="Times New Roman"/>
          <w:b/>
          <w:bCs/>
          <w:sz w:val="24"/>
          <w:szCs w:val="24"/>
        </w:rPr>
        <w:t>1.септембар</w:t>
      </w:r>
      <w:r w:rsidR="008E0793">
        <w:rPr>
          <w:rFonts w:eastAsia="Times New Roman"/>
          <w:b/>
          <w:bCs/>
          <w:sz w:val="24"/>
          <w:szCs w:val="24"/>
        </w:rPr>
        <w:t xml:space="preserve"> </w:t>
      </w:r>
      <w:r w:rsidR="00CD642B">
        <w:rPr>
          <w:rFonts w:eastAsia="Times New Roman"/>
          <w:b/>
          <w:bCs/>
          <w:sz w:val="24"/>
          <w:szCs w:val="24"/>
        </w:rPr>
        <w:t>201</w:t>
      </w:r>
      <w:r w:rsidR="00CD642B">
        <w:rPr>
          <w:rFonts w:eastAsia="Times New Roman"/>
          <w:b/>
          <w:bCs/>
          <w:sz w:val="24"/>
          <w:szCs w:val="24"/>
          <w:lang/>
        </w:rPr>
        <w:t>8</w:t>
      </w:r>
      <w:r>
        <w:rPr>
          <w:rFonts w:eastAsia="Times New Roman"/>
          <w:b/>
          <w:bCs/>
          <w:sz w:val="24"/>
          <w:szCs w:val="24"/>
        </w:rPr>
        <w:t>.године.</w:t>
      </w:r>
      <w:r w:rsidR="00FE2AC3">
        <w:rPr>
          <w:rFonts w:eastAsia="Times New Roman"/>
          <w:b/>
          <w:bCs/>
          <w:sz w:val="24"/>
          <w:szCs w:val="24"/>
        </w:rPr>
        <w:t xml:space="preserve"> </w:t>
      </w:r>
      <w:r w:rsidRPr="003C18F0">
        <w:rPr>
          <w:rFonts w:eastAsia="Times New Roman"/>
          <w:bCs/>
          <w:sz w:val="24"/>
          <w:szCs w:val="24"/>
        </w:rPr>
        <w:t>Документацију доставити на писарницу Општинске управе или поштом на адресу:Општинска управа Мало Црниће, Одсек за буџет и трезор,12311 Мало Црниће.</w:t>
      </w:r>
      <w:r w:rsidR="008E0793">
        <w:rPr>
          <w:rFonts w:eastAsia="Times New Roman"/>
          <w:bCs/>
          <w:sz w:val="24"/>
          <w:szCs w:val="24"/>
        </w:rPr>
        <w:t xml:space="preserve"> </w:t>
      </w:r>
      <w:r w:rsidR="008E0793" w:rsidRPr="00CD642B">
        <w:rPr>
          <w:rFonts w:eastAsia="Times New Roman"/>
          <w:b/>
          <w:bCs/>
          <w:sz w:val="24"/>
          <w:szCs w:val="24"/>
        </w:rPr>
        <w:t>Предлог финансијског плана са обрасцима доставити</w:t>
      </w:r>
      <w:r w:rsidR="00CD642B" w:rsidRPr="00CD642B">
        <w:rPr>
          <w:rFonts w:eastAsia="Times New Roman"/>
          <w:b/>
          <w:bCs/>
          <w:sz w:val="24"/>
          <w:szCs w:val="24"/>
          <w:lang/>
        </w:rPr>
        <w:t xml:space="preserve"> обавезно</w:t>
      </w:r>
      <w:r w:rsidR="008E0793" w:rsidRPr="00CD642B">
        <w:rPr>
          <w:rFonts w:eastAsia="Times New Roman"/>
          <w:b/>
          <w:bCs/>
          <w:sz w:val="24"/>
          <w:szCs w:val="24"/>
        </w:rPr>
        <w:t xml:space="preserve"> </w:t>
      </w:r>
      <w:r w:rsidR="00AD3C3E" w:rsidRPr="00CD642B">
        <w:rPr>
          <w:rFonts w:eastAsia="Times New Roman"/>
          <w:b/>
          <w:bCs/>
          <w:sz w:val="24"/>
          <w:szCs w:val="24"/>
        </w:rPr>
        <w:t xml:space="preserve">и </w:t>
      </w:r>
      <w:r w:rsidR="008E0793" w:rsidRPr="00CD642B">
        <w:rPr>
          <w:rFonts w:eastAsia="Times New Roman"/>
          <w:b/>
          <w:bCs/>
          <w:sz w:val="24"/>
          <w:szCs w:val="24"/>
        </w:rPr>
        <w:t>електронским путем на мејл</w:t>
      </w:r>
      <w:r w:rsidR="008E0793">
        <w:rPr>
          <w:rFonts w:eastAsia="Times New Roman"/>
          <w:bCs/>
          <w:sz w:val="24"/>
          <w:szCs w:val="24"/>
        </w:rPr>
        <w:t xml:space="preserve">: </w:t>
      </w:r>
      <w:hyperlink r:id="rId10" w:history="1">
        <w:r w:rsidR="00514946" w:rsidRPr="00E73306">
          <w:rPr>
            <w:rStyle w:val="Hiperveza"/>
            <w:rFonts w:eastAsia="Times New Roman"/>
            <w:bCs/>
            <w:sz w:val="24"/>
            <w:szCs w:val="24"/>
            <w:lang w:val="en-US"/>
          </w:rPr>
          <w:t>finansije@opstinamalocrnice.rs</w:t>
        </w:r>
      </w:hyperlink>
    </w:p>
    <w:p w:rsidR="008E20ED" w:rsidRPr="00CC2A3F" w:rsidRDefault="008E20ED" w:rsidP="008E20ED">
      <w:pPr>
        <w:spacing w:line="275" w:lineRule="exact"/>
        <w:rPr>
          <w:sz w:val="20"/>
          <w:szCs w:val="20"/>
        </w:rPr>
      </w:pPr>
    </w:p>
    <w:p w:rsidR="008E20ED" w:rsidRPr="0020349E" w:rsidRDefault="008E20ED" w:rsidP="0020349E">
      <w:pPr>
        <w:spacing w:line="246" w:lineRule="auto"/>
        <w:ind w:left="3" w:firstLine="720"/>
        <w:jc w:val="both"/>
        <w:rPr>
          <w:sz w:val="20"/>
          <w:szCs w:val="20"/>
        </w:rPr>
      </w:pPr>
      <w:r>
        <w:rPr>
          <w:rFonts w:eastAsia="Times New Roman"/>
          <w:b/>
          <w:bCs/>
          <w:sz w:val="24"/>
          <w:szCs w:val="24"/>
        </w:rPr>
        <w:t xml:space="preserve">НАПОМЕНА: </w:t>
      </w:r>
      <w:r>
        <w:rPr>
          <w:rFonts w:eastAsia="Times New Roman"/>
          <w:sz w:val="24"/>
          <w:szCs w:val="24"/>
        </w:rPr>
        <w:t>По усвајању Фискалне стратегије за</w:t>
      </w:r>
      <w:r w:rsidR="00E30198">
        <w:rPr>
          <w:rFonts w:eastAsia="Times New Roman"/>
          <w:sz w:val="24"/>
          <w:szCs w:val="24"/>
        </w:rPr>
        <w:t xml:space="preserve"> </w:t>
      </w:r>
      <w:r w:rsidR="00CD642B">
        <w:rPr>
          <w:rFonts w:eastAsia="Times New Roman"/>
          <w:sz w:val="24"/>
          <w:szCs w:val="24"/>
        </w:rPr>
        <w:t>201</w:t>
      </w:r>
      <w:r w:rsidR="00CD642B">
        <w:rPr>
          <w:rFonts w:eastAsia="Times New Roman"/>
          <w:sz w:val="24"/>
          <w:szCs w:val="24"/>
          <w:lang/>
        </w:rPr>
        <w:t>9</w:t>
      </w:r>
      <w:r>
        <w:rPr>
          <w:rFonts w:eastAsia="Times New Roman"/>
          <w:sz w:val="24"/>
          <w:szCs w:val="24"/>
        </w:rPr>
        <w:t>.годину са</w:t>
      </w:r>
      <w:r w:rsidR="00E30198">
        <w:rPr>
          <w:rFonts w:eastAsia="Times New Roman"/>
          <w:sz w:val="24"/>
          <w:szCs w:val="24"/>
        </w:rPr>
        <w:t xml:space="preserve"> </w:t>
      </w:r>
      <w:r w:rsidR="00CD642B">
        <w:rPr>
          <w:rFonts w:eastAsia="Times New Roman"/>
          <w:sz w:val="24"/>
          <w:szCs w:val="24"/>
        </w:rPr>
        <w:t>пројекцијама за 20</w:t>
      </w:r>
      <w:r w:rsidR="00CD642B">
        <w:rPr>
          <w:rFonts w:eastAsia="Times New Roman"/>
          <w:sz w:val="24"/>
          <w:szCs w:val="24"/>
          <w:lang/>
        </w:rPr>
        <w:t>20</w:t>
      </w:r>
      <w:r w:rsidR="00CD642B">
        <w:rPr>
          <w:rFonts w:eastAsia="Times New Roman"/>
          <w:sz w:val="24"/>
          <w:szCs w:val="24"/>
        </w:rPr>
        <w:t>. и 202</w:t>
      </w:r>
      <w:r w:rsidR="00CD642B">
        <w:rPr>
          <w:rFonts w:eastAsia="Times New Roman"/>
          <w:sz w:val="24"/>
          <w:szCs w:val="24"/>
          <w:lang/>
        </w:rPr>
        <w:t>1</w:t>
      </w:r>
      <w:r>
        <w:rPr>
          <w:rFonts w:eastAsia="Times New Roman"/>
          <w:sz w:val="24"/>
          <w:szCs w:val="24"/>
        </w:rPr>
        <w:t xml:space="preserve">. годину од стране Владе Републике Србије и доношењу </w:t>
      </w:r>
      <w:r>
        <w:rPr>
          <w:rFonts w:eastAsia="Times New Roman"/>
          <w:b/>
          <w:bCs/>
          <w:sz w:val="24"/>
          <w:szCs w:val="24"/>
        </w:rPr>
        <w:t>Упутства за припрему одлуке</w:t>
      </w:r>
      <w:r w:rsidR="00CD642B">
        <w:rPr>
          <w:rFonts w:eastAsia="Times New Roman"/>
          <w:b/>
          <w:bCs/>
          <w:sz w:val="24"/>
          <w:szCs w:val="24"/>
        </w:rPr>
        <w:t xml:space="preserve"> о буџету локалне власти за 201</w:t>
      </w:r>
      <w:r w:rsidR="00CD642B">
        <w:rPr>
          <w:rFonts w:eastAsia="Times New Roman"/>
          <w:b/>
          <w:bCs/>
          <w:sz w:val="24"/>
          <w:szCs w:val="24"/>
          <w:lang/>
        </w:rPr>
        <w:t>9</w:t>
      </w:r>
      <w:r>
        <w:rPr>
          <w:rFonts w:eastAsia="Times New Roman"/>
          <w:b/>
          <w:bCs/>
          <w:sz w:val="24"/>
          <w:szCs w:val="24"/>
        </w:rPr>
        <w:t>. годину</w:t>
      </w:r>
      <w:r>
        <w:rPr>
          <w:rFonts w:eastAsia="Times New Roman"/>
          <w:sz w:val="24"/>
          <w:szCs w:val="24"/>
        </w:rPr>
        <w:t>,</w:t>
      </w:r>
      <w:r w:rsidR="00E30198">
        <w:rPr>
          <w:rFonts w:eastAsia="Times New Roman"/>
          <w:sz w:val="24"/>
          <w:szCs w:val="24"/>
        </w:rPr>
        <w:t xml:space="preserve"> </w:t>
      </w:r>
      <w:r>
        <w:rPr>
          <w:rFonts w:eastAsia="Times New Roman"/>
          <w:sz w:val="24"/>
          <w:szCs w:val="24"/>
        </w:rPr>
        <w:t>који садрже</w:t>
      </w:r>
      <w:r w:rsidR="00E30198">
        <w:rPr>
          <w:rFonts w:eastAsia="Times New Roman"/>
          <w:sz w:val="24"/>
          <w:szCs w:val="24"/>
        </w:rPr>
        <w:t xml:space="preserve"> </w:t>
      </w:r>
      <w:r>
        <w:rPr>
          <w:rFonts w:eastAsia="Times New Roman"/>
          <w:sz w:val="24"/>
          <w:szCs w:val="24"/>
        </w:rPr>
        <w:t xml:space="preserve">конкретне параметре за утврђивање висине појединих врста расхода, пре свега, плата, као и </w:t>
      </w:r>
      <w:r w:rsidRPr="003C18F0">
        <w:rPr>
          <w:rFonts w:eastAsia="Times New Roman"/>
          <w:bCs/>
          <w:sz w:val="24"/>
          <w:szCs w:val="24"/>
        </w:rPr>
        <w:t>осталих мера које утичу на јавну потрошњу</w:t>
      </w:r>
      <w:r>
        <w:rPr>
          <w:rFonts w:eastAsia="Times New Roman"/>
          <w:sz w:val="24"/>
          <w:szCs w:val="24"/>
        </w:rPr>
        <w:t>, сви буџетски корисници биће благовремено обавештени, како би приступили евентуалним изменама и допунам</w:t>
      </w:r>
      <w:r w:rsidR="0020349E">
        <w:rPr>
          <w:rFonts w:eastAsia="Times New Roman"/>
          <w:sz w:val="24"/>
          <w:szCs w:val="24"/>
        </w:rPr>
        <w:t>а предлога финансијских планова</w:t>
      </w:r>
    </w:p>
    <w:p w:rsidR="008E20ED" w:rsidRDefault="008E20ED" w:rsidP="008E20ED">
      <w:pPr>
        <w:spacing w:line="26" w:lineRule="exact"/>
        <w:rPr>
          <w:sz w:val="20"/>
          <w:szCs w:val="20"/>
        </w:rPr>
      </w:pPr>
    </w:p>
    <w:p w:rsidR="0020349E" w:rsidRDefault="0020349E" w:rsidP="008E20ED">
      <w:pPr>
        <w:rPr>
          <w:sz w:val="24"/>
          <w:szCs w:val="24"/>
        </w:rPr>
      </w:pPr>
    </w:p>
    <w:p w:rsidR="00C504C2" w:rsidRDefault="00C504C2" w:rsidP="008E20ED">
      <w:pPr>
        <w:rPr>
          <w:sz w:val="24"/>
          <w:szCs w:val="24"/>
        </w:rPr>
      </w:pPr>
    </w:p>
    <w:p w:rsidR="008E20ED" w:rsidRPr="00CD642B" w:rsidRDefault="008E20ED" w:rsidP="008E20ED">
      <w:pPr>
        <w:rPr>
          <w:sz w:val="24"/>
          <w:szCs w:val="24"/>
          <w:lang/>
        </w:rPr>
      </w:pPr>
      <w:r w:rsidRPr="00540D1B">
        <w:rPr>
          <w:sz w:val="24"/>
          <w:szCs w:val="24"/>
        </w:rPr>
        <w:t>Број:</w:t>
      </w:r>
      <w:r w:rsidR="009C1C06">
        <w:rPr>
          <w:sz w:val="24"/>
          <w:szCs w:val="24"/>
          <w:lang/>
        </w:rPr>
        <w:t>400-11/2018</w:t>
      </w:r>
    </w:p>
    <w:p w:rsidR="008E0001" w:rsidRPr="00C627FB" w:rsidRDefault="00CD642B" w:rsidP="00C627FB">
      <w:pPr>
        <w:rPr>
          <w:sz w:val="24"/>
          <w:szCs w:val="24"/>
        </w:rPr>
      </w:pPr>
      <w:r>
        <w:rPr>
          <w:sz w:val="24"/>
          <w:szCs w:val="24"/>
        </w:rPr>
        <w:t>Датум:2</w:t>
      </w:r>
      <w:r>
        <w:rPr>
          <w:sz w:val="24"/>
          <w:szCs w:val="24"/>
          <w:lang/>
        </w:rPr>
        <w:t>4</w:t>
      </w:r>
      <w:r w:rsidR="008E20ED" w:rsidRPr="00540D1B">
        <w:rPr>
          <w:sz w:val="24"/>
          <w:szCs w:val="24"/>
        </w:rPr>
        <w:t>.јул</w:t>
      </w:r>
      <w:r w:rsidR="00895437">
        <w:rPr>
          <w:sz w:val="24"/>
          <w:szCs w:val="24"/>
        </w:rPr>
        <w:t xml:space="preserve"> </w:t>
      </w:r>
      <w:r>
        <w:rPr>
          <w:sz w:val="24"/>
          <w:szCs w:val="24"/>
        </w:rPr>
        <w:t>201</w:t>
      </w:r>
      <w:r>
        <w:rPr>
          <w:sz w:val="24"/>
          <w:szCs w:val="24"/>
          <w:lang/>
        </w:rPr>
        <w:t>8</w:t>
      </w:r>
      <w:r w:rsidR="008E20ED" w:rsidRPr="00540D1B">
        <w:rPr>
          <w:sz w:val="24"/>
          <w:szCs w:val="24"/>
        </w:rPr>
        <w:t>.године</w:t>
      </w:r>
    </w:p>
    <w:p w:rsidR="00BB7AA4" w:rsidRDefault="00BB7AA4" w:rsidP="006957AD">
      <w:pPr>
        <w:ind w:left="8843"/>
        <w:rPr>
          <w:sz w:val="20"/>
          <w:szCs w:val="20"/>
        </w:rPr>
      </w:pPr>
      <w:bookmarkStart w:id="8" w:name="page9"/>
      <w:bookmarkEnd w:id="8"/>
    </w:p>
    <w:p w:rsidR="00BB7AA4" w:rsidRPr="00BB7AA4" w:rsidRDefault="00BB7AA4" w:rsidP="00BB7AA4">
      <w:pPr>
        <w:rPr>
          <w:sz w:val="20"/>
          <w:szCs w:val="20"/>
        </w:rPr>
      </w:pPr>
    </w:p>
    <w:p w:rsidR="00BB7AA4" w:rsidRPr="00BB7AA4" w:rsidRDefault="00BB7AA4" w:rsidP="00BB7AA4">
      <w:pPr>
        <w:rPr>
          <w:sz w:val="20"/>
          <w:szCs w:val="20"/>
        </w:rPr>
      </w:pPr>
    </w:p>
    <w:p w:rsidR="00BB7AA4" w:rsidRDefault="00BB7AA4" w:rsidP="00BB7AA4">
      <w:pPr>
        <w:rPr>
          <w:sz w:val="20"/>
          <w:szCs w:val="20"/>
        </w:rPr>
      </w:pPr>
    </w:p>
    <w:p w:rsidR="0039382F" w:rsidRPr="00BB7AA4" w:rsidRDefault="00BB53D5" w:rsidP="00BB53D5">
      <w:pPr>
        <w:tabs>
          <w:tab w:val="left" w:pos="6521"/>
        </w:tabs>
        <w:rPr>
          <w:sz w:val="24"/>
          <w:szCs w:val="24"/>
        </w:rPr>
      </w:pPr>
      <w:r>
        <w:rPr>
          <w:sz w:val="24"/>
          <w:szCs w:val="24"/>
        </w:rPr>
        <w:t>Обрадио                                                              Н</w:t>
      </w:r>
      <w:r w:rsidR="00BB7AA4" w:rsidRPr="00BB7AA4">
        <w:rPr>
          <w:sz w:val="24"/>
          <w:szCs w:val="24"/>
        </w:rPr>
        <w:t>ачелник</w:t>
      </w:r>
      <w:r w:rsidR="007D751F">
        <w:rPr>
          <w:sz w:val="24"/>
          <w:szCs w:val="24"/>
        </w:rPr>
        <w:t xml:space="preserve"> Општинске управе Мало Црниће</w:t>
      </w:r>
    </w:p>
    <w:p w:rsidR="00BB7AA4" w:rsidRDefault="00BB53D5" w:rsidP="00BB53D5">
      <w:pPr>
        <w:tabs>
          <w:tab w:val="left" w:pos="7440"/>
        </w:tabs>
        <w:rPr>
          <w:sz w:val="24"/>
          <w:szCs w:val="24"/>
        </w:rPr>
      </w:pPr>
      <w:r>
        <w:rPr>
          <w:sz w:val="24"/>
          <w:szCs w:val="24"/>
        </w:rPr>
        <w:t xml:space="preserve">Одсек за буџет и трезор                                                       </w:t>
      </w:r>
      <w:r w:rsidR="00BB7AA4" w:rsidRPr="00BB7AA4">
        <w:rPr>
          <w:sz w:val="24"/>
          <w:szCs w:val="24"/>
        </w:rPr>
        <w:t>Мирјана Станојевић Јовић</w:t>
      </w:r>
    </w:p>
    <w:p w:rsidR="00BB53D5" w:rsidRPr="00BB7AA4" w:rsidRDefault="00BB53D5" w:rsidP="00BB53D5">
      <w:pPr>
        <w:tabs>
          <w:tab w:val="left" w:pos="7440"/>
        </w:tabs>
        <w:rPr>
          <w:sz w:val="24"/>
          <w:szCs w:val="24"/>
        </w:rPr>
      </w:pPr>
    </w:p>
    <w:sectPr w:rsidR="00BB53D5" w:rsidRPr="00BB7AA4" w:rsidSect="009E21A8">
      <w:pgSz w:w="11900" w:h="16840"/>
      <w:pgMar w:top="1440" w:right="1404" w:bottom="439" w:left="1417" w:header="0" w:footer="0" w:gutter="0"/>
      <w:cols w:space="720" w:equalWidth="0">
        <w:col w:w="9083"/>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4CA" w:rsidRDefault="001674CA" w:rsidP="000F12D0">
      <w:r>
        <w:separator/>
      </w:r>
    </w:p>
  </w:endnote>
  <w:endnote w:type="continuationSeparator" w:id="0">
    <w:p w:rsidR="001674CA" w:rsidRDefault="001674CA" w:rsidP="000F12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6979220"/>
      <w:docPartObj>
        <w:docPartGallery w:val="Page Numbers (Bottom of Page)"/>
        <w:docPartUnique/>
      </w:docPartObj>
    </w:sdtPr>
    <w:sdtContent>
      <w:p w:rsidR="003409D0" w:rsidRDefault="00671B85">
        <w:pPr>
          <w:pStyle w:val="Podnojestranice"/>
          <w:jc w:val="center"/>
        </w:pPr>
        <w:r>
          <w:fldChar w:fldCharType="begin"/>
        </w:r>
        <w:r w:rsidR="003409D0">
          <w:instrText>PAGE   \* MERGEFORMAT</w:instrText>
        </w:r>
        <w:r>
          <w:fldChar w:fldCharType="separate"/>
        </w:r>
        <w:r w:rsidR="009C1C06">
          <w:rPr>
            <w:noProof/>
          </w:rPr>
          <w:t>11</w:t>
        </w:r>
        <w:r>
          <w:rPr>
            <w:noProof/>
          </w:rPr>
          <w:fldChar w:fldCharType="end"/>
        </w:r>
      </w:p>
    </w:sdtContent>
  </w:sdt>
  <w:p w:rsidR="003409D0" w:rsidRDefault="003409D0">
    <w:pPr>
      <w:pStyle w:val="Podnojestranic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9D0" w:rsidRDefault="003409D0">
    <w:pPr>
      <w:pStyle w:val="Podnojestranice"/>
      <w:jc w:val="center"/>
    </w:pPr>
  </w:p>
  <w:p w:rsidR="003409D0" w:rsidRDefault="003409D0">
    <w:pPr>
      <w:pStyle w:val="Podnojestranic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4CA" w:rsidRDefault="001674CA" w:rsidP="000F12D0">
      <w:r>
        <w:separator/>
      </w:r>
    </w:p>
  </w:footnote>
  <w:footnote w:type="continuationSeparator" w:id="0">
    <w:p w:rsidR="001674CA" w:rsidRDefault="001674CA" w:rsidP="000F12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231B"/>
    <w:multiLevelType w:val="hybridMultilevel"/>
    <w:tmpl w:val="4710B018"/>
    <w:lvl w:ilvl="0" w:tplc="13701A6E">
      <w:start w:val="1"/>
      <w:numFmt w:val="bullet"/>
      <w:lvlText w:val="−"/>
      <w:lvlJc w:val="left"/>
    </w:lvl>
    <w:lvl w:ilvl="1" w:tplc="57B8A2CC">
      <w:numFmt w:val="decimal"/>
      <w:lvlText w:val=""/>
      <w:lvlJc w:val="left"/>
    </w:lvl>
    <w:lvl w:ilvl="2" w:tplc="FBCC8460">
      <w:numFmt w:val="decimal"/>
      <w:lvlText w:val=""/>
      <w:lvlJc w:val="left"/>
    </w:lvl>
    <w:lvl w:ilvl="3" w:tplc="FC201258">
      <w:numFmt w:val="decimal"/>
      <w:lvlText w:val=""/>
      <w:lvlJc w:val="left"/>
    </w:lvl>
    <w:lvl w:ilvl="4" w:tplc="0E505F3A">
      <w:numFmt w:val="decimal"/>
      <w:lvlText w:val=""/>
      <w:lvlJc w:val="left"/>
    </w:lvl>
    <w:lvl w:ilvl="5" w:tplc="A6AC7DAE">
      <w:numFmt w:val="decimal"/>
      <w:lvlText w:val=""/>
      <w:lvlJc w:val="left"/>
    </w:lvl>
    <w:lvl w:ilvl="6" w:tplc="07242B90">
      <w:numFmt w:val="decimal"/>
      <w:lvlText w:val=""/>
      <w:lvlJc w:val="left"/>
    </w:lvl>
    <w:lvl w:ilvl="7" w:tplc="C07283E6">
      <w:numFmt w:val="decimal"/>
      <w:lvlText w:val=""/>
      <w:lvlJc w:val="left"/>
    </w:lvl>
    <w:lvl w:ilvl="8" w:tplc="7026C996">
      <w:numFmt w:val="decimal"/>
      <w:lvlText w:val=""/>
      <w:lvlJc w:val="left"/>
    </w:lvl>
  </w:abstractNum>
  <w:abstractNum w:abstractNumId="1">
    <w:nsid w:val="0B712D1A"/>
    <w:multiLevelType w:val="hybridMultilevel"/>
    <w:tmpl w:val="BC72ED18"/>
    <w:lvl w:ilvl="0" w:tplc="76260B02">
      <w:start w:val="28"/>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0DED7263"/>
    <w:multiLevelType w:val="hybridMultilevel"/>
    <w:tmpl w:val="A0A09C24"/>
    <w:lvl w:ilvl="0" w:tplc="7F7EABFE">
      <w:start w:val="1"/>
      <w:numFmt w:val="bullet"/>
      <w:lvlText w:val="-"/>
      <w:lvlJc w:val="left"/>
    </w:lvl>
    <w:lvl w:ilvl="1" w:tplc="A61E43D8">
      <w:numFmt w:val="decimal"/>
      <w:lvlText w:val=""/>
      <w:lvlJc w:val="left"/>
    </w:lvl>
    <w:lvl w:ilvl="2" w:tplc="04F6A694">
      <w:numFmt w:val="decimal"/>
      <w:lvlText w:val=""/>
      <w:lvlJc w:val="left"/>
    </w:lvl>
    <w:lvl w:ilvl="3" w:tplc="E5E4FDA4">
      <w:numFmt w:val="decimal"/>
      <w:lvlText w:val=""/>
      <w:lvlJc w:val="left"/>
    </w:lvl>
    <w:lvl w:ilvl="4" w:tplc="42AAC2EA">
      <w:numFmt w:val="decimal"/>
      <w:lvlText w:val=""/>
      <w:lvlJc w:val="left"/>
    </w:lvl>
    <w:lvl w:ilvl="5" w:tplc="43F8E938">
      <w:numFmt w:val="decimal"/>
      <w:lvlText w:val=""/>
      <w:lvlJc w:val="left"/>
    </w:lvl>
    <w:lvl w:ilvl="6" w:tplc="87A0A9C6">
      <w:numFmt w:val="decimal"/>
      <w:lvlText w:val=""/>
      <w:lvlJc w:val="left"/>
    </w:lvl>
    <w:lvl w:ilvl="7" w:tplc="A94A03FA">
      <w:numFmt w:val="decimal"/>
      <w:lvlText w:val=""/>
      <w:lvlJc w:val="left"/>
    </w:lvl>
    <w:lvl w:ilvl="8" w:tplc="C7C69CAC">
      <w:numFmt w:val="decimal"/>
      <w:lvlText w:val=""/>
      <w:lvlJc w:val="left"/>
    </w:lvl>
  </w:abstractNum>
  <w:abstractNum w:abstractNumId="3">
    <w:nsid w:val="0FB841B7"/>
    <w:multiLevelType w:val="hybridMultilevel"/>
    <w:tmpl w:val="8B828E54"/>
    <w:lvl w:ilvl="0" w:tplc="241A000F">
      <w:start w:val="28"/>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109CF92E"/>
    <w:multiLevelType w:val="hybridMultilevel"/>
    <w:tmpl w:val="E3A24D78"/>
    <w:lvl w:ilvl="0" w:tplc="59381E6A">
      <w:start w:val="1"/>
      <w:numFmt w:val="bullet"/>
      <w:lvlText w:val="у"/>
      <w:lvlJc w:val="left"/>
    </w:lvl>
    <w:lvl w:ilvl="1" w:tplc="121CFB1E">
      <w:numFmt w:val="decimal"/>
      <w:lvlText w:val=""/>
      <w:lvlJc w:val="left"/>
    </w:lvl>
    <w:lvl w:ilvl="2" w:tplc="36D26340">
      <w:numFmt w:val="decimal"/>
      <w:lvlText w:val=""/>
      <w:lvlJc w:val="left"/>
    </w:lvl>
    <w:lvl w:ilvl="3" w:tplc="29CE4BE4">
      <w:numFmt w:val="decimal"/>
      <w:lvlText w:val=""/>
      <w:lvlJc w:val="left"/>
    </w:lvl>
    <w:lvl w:ilvl="4" w:tplc="CF6AC6A2">
      <w:numFmt w:val="decimal"/>
      <w:lvlText w:val=""/>
      <w:lvlJc w:val="left"/>
    </w:lvl>
    <w:lvl w:ilvl="5" w:tplc="E74A89E2">
      <w:numFmt w:val="decimal"/>
      <w:lvlText w:val=""/>
      <w:lvlJc w:val="left"/>
    </w:lvl>
    <w:lvl w:ilvl="6" w:tplc="0D605828">
      <w:numFmt w:val="decimal"/>
      <w:lvlText w:val=""/>
      <w:lvlJc w:val="left"/>
    </w:lvl>
    <w:lvl w:ilvl="7" w:tplc="7B6C5D74">
      <w:numFmt w:val="decimal"/>
      <w:lvlText w:val=""/>
      <w:lvlJc w:val="left"/>
    </w:lvl>
    <w:lvl w:ilvl="8" w:tplc="9F04CCB4">
      <w:numFmt w:val="decimal"/>
      <w:lvlText w:val=""/>
      <w:lvlJc w:val="left"/>
    </w:lvl>
  </w:abstractNum>
  <w:abstractNum w:abstractNumId="5">
    <w:nsid w:val="1190CDE7"/>
    <w:multiLevelType w:val="hybridMultilevel"/>
    <w:tmpl w:val="9A0AEAE8"/>
    <w:lvl w:ilvl="0" w:tplc="6DE4561E">
      <w:start w:val="1"/>
      <w:numFmt w:val="decimal"/>
      <w:lvlText w:val="%1)"/>
      <w:lvlJc w:val="left"/>
    </w:lvl>
    <w:lvl w:ilvl="1" w:tplc="13D8857C">
      <w:numFmt w:val="decimal"/>
      <w:lvlText w:val=""/>
      <w:lvlJc w:val="left"/>
    </w:lvl>
    <w:lvl w:ilvl="2" w:tplc="6388B27C">
      <w:numFmt w:val="decimal"/>
      <w:lvlText w:val=""/>
      <w:lvlJc w:val="left"/>
    </w:lvl>
    <w:lvl w:ilvl="3" w:tplc="AF643FBA">
      <w:numFmt w:val="decimal"/>
      <w:lvlText w:val=""/>
      <w:lvlJc w:val="left"/>
    </w:lvl>
    <w:lvl w:ilvl="4" w:tplc="2DBAB6AC">
      <w:numFmt w:val="decimal"/>
      <w:lvlText w:val=""/>
      <w:lvlJc w:val="left"/>
    </w:lvl>
    <w:lvl w:ilvl="5" w:tplc="97EE09D6">
      <w:numFmt w:val="decimal"/>
      <w:lvlText w:val=""/>
      <w:lvlJc w:val="left"/>
    </w:lvl>
    <w:lvl w:ilvl="6" w:tplc="BB7E7F08">
      <w:numFmt w:val="decimal"/>
      <w:lvlText w:val=""/>
      <w:lvlJc w:val="left"/>
    </w:lvl>
    <w:lvl w:ilvl="7" w:tplc="F4DA1A9C">
      <w:numFmt w:val="decimal"/>
      <w:lvlText w:val=""/>
      <w:lvlJc w:val="left"/>
    </w:lvl>
    <w:lvl w:ilvl="8" w:tplc="30CEBDB6">
      <w:numFmt w:val="decimal"/>
      <w:lvlText w:val=""/>
      <w:lvlJc w:val="left"/>
    </w:lvl>
  </w:abstractNum>
  <w:abstractNum w:abstractNumId="6">
    <w:nsid w:val="140E0F76"/>
    <w:multiLevelType w:val="hybridMultilevel"/>
    <w:tmpl w:val="CF48BB10"/>
    <w:lvl w:ilvl="0" w:tplc="0B2290B8">
      <w:start w:val="1"/>
      <w:numFmt w:val="bullet"/>
      <w:lvlText w:val="-"/>
      <w:lvlJc w:val="left"/>
    </w:lvl>
    <w:lvl w:ilvl="1" w:tplc="7DC80324">
      <w:numFmt w:val="decimal"/>
      <w:lvlText w:val=""/>
      <w:lvlJc w:val="left"/>
    </w:lvl>
    <w:lvl w:ilvl="2" w:tplc="EDAEB636">
      <w:numFmt w:val="decimal"/>
      <w:lvlText w:val=""/>
      <w:lvlJc w:val="left"/>
    </w:lvl>
    <w:lvl w:ilvl="3" w:tplc="CF1281FE">
      <w:numFmt w:val="decimal"/>
      <w:lvlText w:val=""/>
      <w:lvlJc w:val="left"/>
    </w:lvl>
    <w:lvl w:ilvl="4" w:tplc="7610E27A">
      <w:numFmt w:val="decimal"/>
      <w:lvlText w:val=""/>
      <w:lvlJc w:val="left"/>
    </w:lvl>
    <w:lvl w:ilvl="5" w:tplc="FE28D8D4">
      <w:numFmt w:val="decimal"/>
      <w:lvlText w:val=""/>
      <w:lvlJc w:val="left"/>
    </w:lvl>
    <w:lvl w:ilvl="6" w:tplc="D962199A">
      <w:numFmt w:val="decimal"/>
      <w:lvlText w:val=""/>
      <w:lvlJc w:val="left"/>
    </w:lvl>
    <w:lvl w:ilvl="7" w:tplc="A7E4838C">
      <w:numFmt w:val="decimal"/>
      <w:lvlText w:val=""/>
      <w:lvlJc w:val="left"/>
    </w:lvl>
    <w:lvl w:ilvl="8" w:tplc="3A647A14">
      <w:numFmt w:val="decimal"/>
      <w:lvlText w:val=""/>
      <w:lvlJc w:val="left"/>
    </w:lvl>
  </w:abstractNum>
  <w:abstractNum w:abstractNumId="7">
    <w:nsid w:val="1BEFD79F"/>
    <w:multiLevelType w:val="hybridMultilevel"/>
    <w:tmpl w:val="90E29A70"/>
    <w:lvl w:ilvl="0" w:tplc="621AF52A">
      <w:start w:val="2"/>
      <w:numFmt w:val="decimal"/>
      <w:lvlText w:val="%1."/>
      <w:lvlJc w:val="left"/>
    </w:lvl>
    <w:lvl w:ilvl="1" w:tplc="D668EEEE">
      <w:numFmt w:val="decimal"/>
      <w:lvlText w:val=""/>
      <w:lvlJc w:val="left"/>
    </w:lvl>
    <w:lvl w:ilvl="2" w:tplc="CFF43BA2">
      <w:numFmt w:val="decimal"/>
      <w:lvlText w:val=""/>
      <w:lvlJc w:val="left"/>
    </w:lvl>
    <w:lvl w:ilvl="3" w:tplc="418AB290">
      <w:numFmt w:val="decimal"/>
      <w:lvlText w:val=""/>
      <w:lvlJc w:val="left"/>
    </w:lvl>
    <w:lvl w:ilvl="4" w:tplc="B5946EB4">
      <w:numFmt w:val="decimal"/>
      <w:lvlText w:val=""/>
      <w:lvlJc w:val="left"/>
    </w:lvl>
    <w:lvl w:ilvl="5" w:tplc="62DAE2EA">
      <w:numFmt w:val="decimal"/>
      <w:lvlText w:val=""/>
      <w:lvlJc w:val="left"/>
    </w:lvl>
    <w:lvl w:ilvl="6" w:tplc="CF8CD73A">
      <w:numFmt w:val="decimal"/>
      <w:lvlText w:val=""/>
      <w:lvlJc w:val="left"/>
    </w:lvl>
    <w:lvl w:ilvl="7" w:tplc="60262132">
      <w:numFmt w:val="decimal"/>
      <w:lvlText w:val=""/>
      <w:lvlJc w:val="left"/>
    </w:lvl>
    <w:lvl w:ilvl="8" w:tplc="C3122446">
      <w:numFmt w:val="decimal"/>
      <w:lvlText w:val=""/>
      <w:lvlJc w:val="left"/>
    </w:lvl>
  </w:abstractNum>
  <w:abstractNum w:abstractNumId="8">
    <w:nsid w:val="1F16E9E8"/>
    <w:multiLevelType w:val="hybridMultilevel"/>
    <w:tmpl w:val="F90CCD16"/>
    <w:lvl w:ilvl="0" w:tplc="569E6FC4">
      <w:start w:val="1"/>
      <w:numFmt w:val="bullet"/>
      <w:lvlText w:val="У"/>
      <w:lvlJc w:val="left"/>
    </w:lvl>
    <w:lvl w:ilvl="1" w:tplc="4D58811E">
      <w:numFmt w:val="decimal"/>
      <w:lvlText w:val=""/>
      <w:lvlJc w:val="left"/>
    </w:lvl>
    <w:lvl w:ilvl="2" w:tplc="CF545D42">
      <w:numFmt w:val="decimal"/>
      <w:lvlText w:val=""/>
      <w:lvlJc w:val="left"/>
    </w:lvl>
    <w:lvl w:ilvl="3" w:tplc="0512EED2">
      <w:numFmt w:val="decimal"/>
      <w:lvlText w:val=""/>
      <w:lvlJc w:val="left"/>
    </w:lvl>
    <w:lvl w:ilvl="4" w:tplc="8CCA9406">
      <w:numFmt w:val="decimal"/>
      <w:lvlText w:val=""/>
      <w:lvlJc w:val="left"/>
    </w:lvl>
    <w:lvl w:ilvl="5" w:tplc="490602A0">
      <w:numFmt w:val="decimal"/>
      <w:lvlText w:val=""/>
      <w:lvlJc w:val="left"/>
    </w:lvl>
    <w:lvl w:ilvl="6" w:tplc="074A02C0">
      <w:numFmt w:val="decimal"/>
      <w:lvlText w:val=""/>
      <w:lvlJc w:val="left"/>
    </w:lvl>
    <w:lvl w:ilvl="7" w:tplc="BB765518">
      <w:numFmt w:val="decimal"/>
      <w:lvlText w:val=""/>
      <w:lvlJc w:val="left"/>
    </w:lvl>
    <w:lvl w:ilvl="8" w:tplc="D27093F4">
      <w:numFmt w:val="decimal"/>
      <w:lvlText w:val=""/>
      <w:lvlJc w:val="left"/>
    </w:lvl>
  </w:abstractNum>
  <w:abstractNum w:abstractNumId="9">
    <w:nsid w:val="25E45D32"/>
    <w:multiLevelType w:val="hybridMultilevel"/>
    <w:tmpl w:val="A78C3178"/>
    <w:lvl w:ilvl="0" w:tplc="1694B2F0">
      <w:start w:val="1"/>
      <w:numFmt w:val="bullet"/>
      <w:lvlText w:val="У"/>
      <w:lvlJc w:val="left"/>
    </w:lvl>
    <w:lvl w:ilvl="1" w:tplc="27903ABC">
      <w:numFmt w:val="decimal"/>
      <w:lvlText w:val=""/>
      <w:lvlJc w:val="left"/>
    </w:lvl>
    <w:lvl w:ilvl="2" w:tplc="B3CE6348">
      <w:numFmt w:val="decimal"/>
      <w:lvlText w:val=""/>
      <w:lvlJc w:val="left"/>
    </w:lvl>
    <w:lvl w:ilvl="3" w:tplc="40845EB4">
      <w:numFmt w:val="decimal"/>
      <w:lvlText w:val=""/>
      <w:lvlJc w:val="left"/>
    </w:lvl>
    <w:lvl w:ilvl="4" w:tplc="A9849F86">
      <w:numFmt w:val="decimal"/>
      <w:lvlText w:val=""/>
      <w:lvlJc w:val="left"/>
    </w:lvl>
    <w:lvl w:ilvl="5" w:tplc="4AFE6460">
      <w:numFmt w:val="decimal"/>
      <w:lvlText w:val=""/>
      <w:lvlJc w:val="left"/>
    </w:lvl>
    <w:lvl w:ilvl="6" w:tplc="10A28018">
      <w:numFmt w:val="decimal"/>
      <w:lvlText w:val=""/>
      <w:lvlJc w:val="left"/>
    </w:lvl>
    <w:lvl w:ilvl="7" w:tplc="A6A23FB8">
      <w:numFmt w:val="decimal"/>
      <w:lvlText w:val=""/>
      <w:lvlJc w:val="left"/>
    </w:lvl>
    <w:lvl w:ilvl="8" w:tplc="DFA0B780">
      <w:numFmt w:val="decimal"/>
      <w:lvlText w:val=""/>
      <w:lvlJc w:val="left"/>
    </w:lvl>
  </w:abstractNum>
  <w:abstractNum w:abstractNumId="10">
    <w:nsid w:val="3352255A"/>
    <w:multiLevelType w:val="hybridMultilevel"/>
    <w:tmpl w:val="E774DCB8"/>
    <w:lvl w:ilvl="0" w:tplc="419C5A10">
      <w:start w:val="1"/>
      <w:numFmt w:val="bullet"/>
      <w:lvlText w:val="У"/>
      <w:lvlJc w:val="left"/>
    </w:lvl>
    <w:lvl w:ilvl="1" w:tplc="AA700804">
      <w:numFmt w:val="decimal"/>
      <w:lvlText w:val=""/>
      <w:lvlJc w:val="left"/>
    </w:lvl>
    <w:lvl w:ilvl="2" w:tplc="C4D26220">
      <w:numFmt w:val="decimal"/>
      <w:lvlText w:val=""/>
      <w:lvlJc w:val="left"/>
    </w:lvl>
    <w:lvl w:ilvl="3" w:tplc="DECCC11A">
      <w:numFmt w:val="decimal"/>
      <w:lvlText w:val=""/>
      <w:lvlJc w:val="left"/>
    </w:lvl>
    <w:lvl w:ilvl="4" w:tplc="BB36B87E">
      <w:numFmt w:val="decimal"/>
      <w:lvlText w:val=""/>
      <w:lvlJc w:val="left"/>
    </w:lvl>
    <w:lvl w:ilvl="5" w:tplc="2DC446AA">
      <w:numFmt w:val="decimal"/>
      <w:lvlText w:val=""/>
      <w:lvlJc w:val="left"/>
    </w:lvl>
    <w:lvl w:ilvl="6" w:tplc="34201DB8">
      <w:numFmt w:val="decimal"/>
      <w:lvlText w:val=""/>
      <w:lvlJc w:val="left"/>
    </w:lvl>
    <w:lvl w:ilvl="7" w:tplc="9FEEF232">
      <w:numFmt w:val="decimal"/>
      <w:lvlText w:val=""/>
      <w:lvlJc w:val="left"/>
    </w:lvl>
    <w:lvl w:ilvl="8" w:tplc="0E2CEA08">
      <w:numFmt w:val="decimal"/>
      <w:lvlText w:val=""/>
      <w:lvlJc w:val="left"/>
    </w:lvl>
  </w:abstractNum>
  <w:abstractNum w:abstractNumId="11">
    <w:nsid w:val="3F2DBA31"/>
    <w:multiLevelType w:val="hybridMultilevel"/>
    <w:tmpl w:val="159C67D4"/>
    <w:lvl w:ilvl="0" w:tplc="AC1A1404">
      <w:start w:val="1"/>
      <w:numFmt w:val="bullet"/>
      <w:lvlText w:val="-"/>
      <w:lvlJc w:val="left"/>
    </w:lvl>
    <w:lvl w:ilvl="1" w:tplc="25C6762E">
      <w:numFmt w:val="decimal"/>
      <w:lvlText w:val=""/>
      <w:lvlJc w:val="left"/>
    </w:lvl>
    <w:lvl w:ilvl="2" w:tplc="66368D80">
      <w:numFmt w:val="decimal"/>
      <w:lvlText w:val=""/>
      <w:lvlJc w:val="left"/>
    </w:lvl>
    <w:lvl w:ilvl="3" w:tplc="D78E203E">
      <w:numFmt w:val="decimal"/>
      <w:lvlText w:val=""/>
      <w:lvlJc w:val="left"/>
    </w:lvl>
    <w:lvl w:ilvl="4" w:tplc="34341900">
      <w:numFmt w:val="decimal"/>
      <w:lvlText w:val=""/>
      <w:lvlJc w:val="left"/>
    </w:lvl>
    <w:lvl w:ilvl="5" w:tplc="8C3408EA">
      <w:numFmt w:val="decimal"/>
      <w:lvlText w:val=""/>
      <w:lvlJc w:val="left"/>
    </w:lvl>
    <w:lvl w:ilvl="6" w:tplc="4E3EFC58">
      <w:numFmt w:val="decimal"/>
      <w:lvlText w:val=""/>
      <w:lvlJc w:val="left"/>
    </w:lvl>
    <w:lvl w:ilvl="7" w:tplc="85965338">
      <w:numFmt w:val="decimal"/>
      <w:lvlText w:val=""/>
      <w:lvlJc w:val="left"/>
    </w:lvl>
    <w:lvl w:ilvl="8" w:tplc="EA5C4DBA">
      <w:numFmt w:val="decimal"/>
      <w:lvlText w:val=""/>
      <w:lvlJc w:val="left"/>
    </w:lvl>
  </w:abstractNum>
  <w:abstractNum w:abstractNumId="12">
    <w:nsid w:val="41A7C4C9"/>
    <w:multiLevelType w:val="hybridMultilevel"/>
    <w:tmpl w:val="0EEE2D1C"/>
    <w:lvl w:ilvl="0" w:tplc="DF288782">
      <w:start w:val="4"/>
      <w:numFmt w:val="decimal"/>
      <w:lvlText w:val="%1."/>
      <w:lvlJc w:val="left"/>
    </w:lvl>
    <w:lvl w:ilvl="1" w:tplc="30140022">
      <w:numFmt w:val="decimal"/>
      <w:lvlText w:val=""/>
      <w:lvlJc w:val="left"/>
    </w:lvl>
    <w:lvl w:ilvl="2" w:tplc="72D84F8C">
      <w:numFmt w:val="decimal"/>
      <w:lvlText w:val=""/>
      <w:lvlJc w:val="left"/>
    </w:lvl>
    <w:lvl w:ilvl="3" w:tplc="38BCDC5A">
      <w:numFmt w:val="decimal"/>
      <w:lvlText w:val=""/>
      <w:lvlJc w:val="left"/>
    </w:lvl>
    <w:lvl w:ilvl="4" w:tplc="F12CB7D6">
      <w:numFmt w:val="decimal"/>
      <w:lvlText w:val=""/>
      <w:lvlJc w:val="left"/>
    </w:lvl>
    <w:lvl w:ilvl="5" w:tplc="2CDE9A2A">
      <w:numFmt w:val="decimal"/>
      <w:lvlText w:val=""/>
      <w:lvlJc w:val="left"/>
    </w:lvl>
    <w:lvl w:ilvl="6" w:tplc="C67E6078">
      <w:numFmt w:val="decimal"/>
      <w:lvlText w:val=""/>
      <w:lvlJc w:val="left"/>
    </w:lvl>
    <w:lvl w:ilvl="7" w:tplc="4BE62904">
      <w:numFmt w:val="decimal"/>
      <w:lvlText w:val=""/>
      <w:lvlJc w:val="left"/>
    </w:lvl>
    <w:lvl w:ilvl="8" w:tplc="F4FCEA40">
      <w:numFmt w:val="decimal"/>
      <w:lvlText w:val=""/>
      <w:lvlJc w:val="left"/>
    </w:lvl>
  </w:abstractNum>
  <w:abstractNum w:abstractNumId="13">
    <w:nsid w:val="431BD7B7"/>
    <w:multiLevelType w:val="hybridMultilevel"/>
    <w:tmpl w:val="FF420BEE"/>
    <w:lvl w:ilvl="0" w:tplc="002C0A32">
      <w:start w:val="1"/>
      <w:numFmt w:val="decimal"/>
      <w:lvlText w:val="%1)"/>
      <w:lvlJc w:val="left"/>
    </w:lvl>
    <w:lvl w:ilvl="1" w:tplc="794266BC">
      <w:start w:val="1"/>
      <w:numFmt w:val="bullet"/>
      <w:lvlText w:val="У"/>
      <w:lvlJc w:val="left"/>
    </w:lvl>
    <w:lvl w:ilvl="2" w:tplc="CD502E7E">
      <w:numFmt w:val="decimal"/>
      <w:lvlText w:val=""/>
      <w:lvlJc w:val="left"/>
    </w:lvl>
    <w:lvl w:ilvl="3" w:tplc="0AC46C2C">
      <w:numFmt w:val="decimal"/>
      <w:lvlText w:val=""/>
      <w:lvlJc w:val="left"/>
    </w:lvl>
    <w:lvl w:ilvl="4" w:tplc="619E739E">
      <w:numFmt w:val="decimal"/>
      <w:lvlText w:val=""/>
      <w:lvlJc w:val="left"/>
    </w:lvl>
    <w:lvl w:ilvl="5" w:tplc="D5F4AF9C">
      <w:numFmt w:val="decimal"/>
      <w:lvlText w:val=""/>
      <w:lvlJc w:val="left"/>
    </w:lvl>
    <w:lvl w:ilvl="6" w:tplc="857A43B2">
      <w:numFmt w:val="decimal"/>
      <w:lvlText w:val=""/>
      <w:lvlJc w:val="left"/>
    </w:lvl>
    <w:lvl w:ilvl="7" w:tplc="6136B9AE">
      <w:numFmt w:val="decimal"/>
      <w:lvlText w:val=""/>
      <w:lvlJc w:val="left"/>
    </w:lvl>
    <w:lvl w:ilvl="8" w:tplc="CB7C0098">
      <w:numFmt w:val="decimal"/>
      <w:lvlText w:val=""/>
      <w:lvlJc w:val="left"/>
    </w:lvl>
  </w:abstractNum>
  <w:abstractNum w:abstractNumId="14">
    <w:nsid w:val="4DB127F8"/>
    <w:multiLevelType w:val="hybridMultilevel"/>
    <w:tmpl w:val="C7E63E34"/>
    <w:lvl w:ilvl="0" w:tplc="A4862C82">
      <w:start w:val="29"/>
      <w:numFmt w:val="decimal"/>
      <w:lvlText w:val="%1."/>
      <w:lvlJc w:val="left"/>
    </w:lvl>
    <w:lvl w:ilvl="1" w:tplc="DB82A1E0">
      <w:numFmt w:val="decimal"/>
      <w:lvlText w:val=""/>
      <w:lvlJc w:val="left"/>
    </w:lvl>
    <w:lvl w:ilvl="2" w:tplc="82A0A888">
      <w:numFmt w:val="decimal"/>
      <w:lvlText w:val=""/>
      <w:lvlJc w:val="left"/>
    </w:lvl>
    <w:lvl w:ilvl="3" w:tplc="0C544D3A">
      <w:numFmt w:val="decimal"/>
      <w:lvlText w:val=""/>
      <w:lvlJc w:val="left"/>
    </w:lvl>
    <w:lvl w:ilvl="4" w:tplc="1214DA4C">
      <w:numFmt w:val="decimal"/>
      <w:lvlText w:val=""/>
      <w:lvlJc w:val="left"/>
    </w:lvl>
    <w:lvl w:ilvl="5" w:tplc="33325A42">
      <w:numFmt w:val="decimal"/>
      <w:lvlText w:val=""/>
      <w:lvlJc w:val="left"/>
    </w:lvl>
    <w:lvl w:ilvl="6" w:tplc="22EAE512">
      <w:numFmt w:val="decimal"/>
      <w:lvlText w:val=""/>
      <w:lvlJc w:val="left"/>
    </w:lvl>
    <w:lvl w:ilvl="7" w:tplc="8E528D2A">
      <w:numFmt w:val="decimal"/>
      <w:lvlText w:val=""/>
      <w:lvlJc w:val="left"/>
    </w:lvl>
    <w:lvl w:ilvl="8" w:tplc="F8E40D6C">
      <w:numFmt w:val="decimal"/>
      <w:lvlText w:val=""/>
      <w:lvlJc w:val="left"/>
    </w:lvl>
  </w:abstractNum>
  <w:abstractNum w:abstractNumId="15">
    <w:nsid w:val="4E6AFB66"/>
    <w:multiLevelType w:val="hybridMultilevel"/>
    <w:tmpl w:val="31DC25B8"/>
    <w:lvl w:ilvl="0" w:tplc="7CE6099E">
      <w:start w:val="1"/>
      <w:numFmt w:val="bullet"/>
      <w:lvlText w:val="•"/>
      <w:lvlJc w:val="left"/>
    </w:lvl>
    <w:lvl w:ilvl="1" w:tplc="34B6AEEE">
      <w:start w:val="1"/>
      <w:numFmt w:val="bullet"/>
      <w:lvlText w:val="У"/>
      <w:lvlJc w:val="left"/>
    </w:lvl>
    <w:lvl w:ilvl="2" w:tplc="623E4190">
      <w:numFmt w:val="decimal"/>
      <w:lvlText w:val=""/>
      <w:lvlJc w:val="left"/>
    </w:lvl>
    <w:lvl w:ilvl="3" w:tplc="98EAC346">
      <w:numFmt w:val="decimal"/>
      <w:lvlText w:val=""/>
      <w:lvlJc w:val="left"/>
    </w:lvl>
    <w:lvl w:ilvl="4" w:tplc="014C00D6">
      <w:numFmt w:val="decimal"/>
      <w:lvlText w:val=""/>
      <w:lvlJc w:val="left"/>
    </w:lvl>
    <w:lvl w:ilvl="5" w:tplc="8F205DC6">
      <w:numFmt w:val="decimal"/>
      <w:lvlText w:val=""/>
      <w:lvlJc w:val="left"/>
    </w:lvl>
    <w:lvl w:ilvl="6" w:tplc="063432F4">
      <w:numFmt w:val="decimal"/>
      <w:lvlText w:val=""/>
      <w:lvlJc w:val="left"/>
    </w:lvl>
    <w:lvl w:ilvl="7" w:tplc="2340AC64">
      <w:numFmt w:val="decimal"/>
      <w:lvlText w:val=""/>
      <w:lvlJc w:val="left"/>
    </w:lvl>
    <w:lvl w:ilvl="8" w:tplc="20E8D8A4">
      <w:numFmt w:val="decimal"/>
      <w:lvlText w:val=""/>
      <w:lvlJc w:val="left"/>
    </w:lvl>
  </w:abstractNum>
  <w:abstractNum w:abstractNumId="16">
    <w:nsid w:val="519B500D"/>
    <w:multiLevelType w:val="hybridMultilevel"/>
    <w:tmpl w:val="1D3A7BB0"/>
    <w:lvl w:ilvl="0" w:tplc="8E20CF76">
      <w:start w:val="112"/>
      <w:numFmt w:val="decimal"/>
      <w:lvlText w:val="%1."/>
      <w:lvlJc w:val="left"/>
    </w:lvl>
    <w:lvl w:ilvl="1" w:tplc="984C2622">
      <w:numFmt w:val="decimal"/>
      <w:lvlText w:val=""/>
      <w:lvlJc w:val="left"/>
    </w:lvl>
    <w:lvl w:ilvl="2" w:tplc="30C2D93A">
      <w:numFmt w:val="decimal"/>
      <w:lvlText w:val=""/>
      <w:lvlJc w:val="left"/>
    </w:lvl>
    <w:lvl w:ilvl="3" w:tplc="30827C56">
      <w:numFmt w:val="decimal"/>
      <w:lvlText w:val=""/>
      <w:lvlJc w:val="left"/>
    </w:lvl>
    <w:lvl w:ilvl="4" w:tplc="7390B686">
      <w:numFmt w:val="decimal"/>
      <w:lvlText w:val=""/>
      <w:lvlJc w:val="left"/>
    </w:lvl>
    <w:lvl w:ilvl="5" w:tplc="DAEC17BA">
      <w:numFmt w:val="decimal"/>
      <w:lvlText w:val=""/>
      <w:lvlJc w:val="left"/>
    </w:lvl>
    <w:lvl w:ilvl="6" w:tplc="78A8388C">
      <w:numFmt w:val="decimal"/>
      <w:lvlText w:val=""/>
      <w:lvlJc w:val="left"/>
    </w:lvl>
    <w:lvl w:ilvl="7" w:tplc="D6C0150C">
      <w:numFmt w:val="decimal"/>
      <w:lvlText w:val=""/>
      <w:lvlJc w:val="left"/>
    </w:lvl>
    <w:lvl w:ilvl="8" w:tplc="BC76AE36">
      <w:numFmt w:val="decimal"/>
      <w:lvlText w:val=""/>
      <w:lvlJc w:val="left"/>
    </w:lvl>
  </w:abstractNum>
  <w:abstractNum w:abstractNumId="17">
    <w:nsid w:val="52F54726"/>
    <w:multiLevelType w:val="hybridMultilevel"/>
    <w:tmpl w:val="AC22165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66EF438D"/>
    <w:multiLevelType w:val="hybridMultilevel"/>
    <w:tmpl w:val="788060D2"/>
    <w:lvl w:ilvl="0" w:tplc="C7CA3040">
      <w:start w:val="30"/>
      <w:numFmt w:val="decimal"/>
      <w:lvlText w:val="%1."/>
      <w:lvlJc w:val="left"/>
    </w:lvl>
    <w:lvl w:ilvl="1" w:tplc="6B120F5A">
      <w:numFmt w:val="decimal"/>
      <w:lvlText w:val=""/>
      <w:lvlJc w:val="left"/>
    </w:lvl>
    <w:lvl w:ilvl="2" w:tplc="4A3E8984">
      <w:numFmt w:val="decimal"/>
      <w:lvlText w:val=""/>
      <w:lvlJc w:val="left"/>
    </w:lvl>
    <w:lvl w:ilvl="3" w:tplc="FA44BE5E">
      <w:numFmt w:val="decimal"/>
      <w:lvlText w:val=""/>
      <w:lvlJc w:val="left"/>
    </w:lvl>
    <w:lvl w:ilvl="4" w:tplc="C5446D92">
      <w:numFmt w:val="decimal"/>
      <w:lvlText w:val=""/>
      <w:lvlJc w:val="left"/>
    </w:lvl>
    <w:lvl w:ilvl="5" w:tplc="F22872F8">
      <w:numFmt w:val="decimal"/>
      <w:lvlText w:val=""/>
      <w:lvlJc w:val="left"/>
    </w:lvl>
    <w:lvl w:ilvl="6" w:tplc="07F80FEC">
      <w:numFmt w:val="decimal"/>
      <w:lvlText w:val=""/>
      <w:lvlJc w:val="left"/>
    </w:lvl>
    <w:lvl w:ilvl="7" w:tplc="4768B422">
      <w:numFmt w:val="decimal"/>
      <w:lvlText w:val=""/>
      <w:lvlJc w:val="left"/>
    </w:lvl>
    <w:lvl w:ilvl="8" w:tplc="F3EC6BB8">
      <w:numFmt w:val="decimal"/>
      <w:lvlText w:val=""/>
      <w:lvlJc w:val="left"/>
    </w:lvl>
  </w:abstractNum>
  <w:abstractNum w:abstractNumId="19">
    <w:nsid w:val="6B68079A"/>
    <w:multiLevelType w:val="hybridMultilevel"/>
    <w:tmpl w:val="4A924C2E"/>
    <w:lvl w:ilvl="0" w:tplc="F7C86070">
      <w:start w:val="1"/>
      <w:numFmt w:val="decimal"/>
      <w:lvlText w:val="%1)"/>
      <w:lvlJc w:val="left"/>
    </w:lvl>
    <w:lvl w:ilvl="1" w:tplc="3A287D52">
      <w:numFmt w:val="decimal"/>
      <w:lvlText w:val=""/>
      <w:lvlJc w:val="left"/>
    </w:lvl>
    <w:lvl w:ilvl="2" w:tplc="3E9C4A36">
      <w:numFmt w:val="decimal"/>
      <w:lvlText w:val=""/>
      <w:lvlJc w:val="left"/>
    </w:lvl>
    <w:lvl w:ilvl="3" w:tplc="7A22FA98">
      <w:numFmt w:val="decimal"/>
      <w:lvlText w:val=""/>
      <w:lvlJc w:val="left"/>
    </w:lvl>
    <w:lvl w:ilvl="4" w:tplc="2DA8D594">
      <w:numFmt w:val="decimal"/>
      <w:lvlText w:val=""/>
      <w:lvlJc w:val="left"/>
    </w:lvl>
    <w:lvl w:ilvl="5" w:tplc="1CE04546">
      <w:numFmt w:val="decimal"/>
      <w:lvlText w:val=""/>
      <w:lvlJc w:val="left"/>
    </w:lvl>
    <w:lvl w:ilvl="6" w:tplc="15F0D6C4">
      <w:numFmt w:val="decimal"/>
      <w:lvlText w:val=""/>
      <w:lvlJc w:val="left"/>
    </w:lvl>
    <w:lvl w:ilvl="7" w:tplc="D3DE82DA">
      <w:numFmt w:val="decimal"/>
      <w:lvlText w:val=""/>
      <w:lvlJc w:val="left"/>
    </w:lvl>
    <w:lvl w:ilvl="8" w:tplc="80E8C1D2">
      <w:numFmt w:val="decimal"/>
      <w:lvlText w:val=""/>
      <w:lvlJc w:val="left"/>
    </w:lvl>
  </w:abstractNum>
  <w:abstractNum w:abstractNumId="20">
    <w:nsid w:val="7C83E458"/>
    <w:multiLevelType w:val="hybridMultilevel"/>
    <w:tmpl w:val="5A526F7E"/>
    <w:lvl w:ilvl="0" w:tplc="C4325BC0">
      <w:start w:val="29"/>
      <w:numFmt w:val="decimal"/>
      <w:lvlText w:val="%1."/>
      <w:lvlJc w:val="left"/>
    </w:lvl>
    <w:lvl w:ilvl="1" w:tplc="67B632DE">
      <w:numFmt w:val="decimal"/>
      <w:lvlText w:val=""/>
      <w:lvlJc w:val="left"/>
    </w:lvl>
    <w:lvl w:ilvl="2" w:tplc="EFFC180A">
      <w:numFmt w:val="decimal"/>
      <w:lvlText w:val=""/>
      <w:lvlJc w:val="left"/>
    </w:lvl>
    <w:lvl w:ilvl="3" w:tplc="9A60F4CA">
      <w:numFmt w:val="decimal"/>
      <w:lvlText w:val=""/>
      <w:lvlJc w:val="left"/>
    </w:lvl>
    <w:lvl w:ilvl="4" w:tplc="8A848F40">
      <w:numFmt w:val="decimal"/>
      <w:lvlText w:val=""/>
      <w:lvlJc w:val="left"/>
    </w:lvl>
    <w:lvl w:ilvl="5" w:tplc="1E66711C">
      <w:numFmt w:val="decimal"/>
      <w:lvlText w:val=""/>
      <w:lvlJc w:val="left"/>
    </w:lvl>
    <w:lvl w:ilvl="6" w:tplc="D05AA5D8">
      <w:numFmt w:val="decimal"/>
      <w:lvlText w:val=""/>
      <w:lvlJc w:val="left"/>
    </w:lvl>
    <w:lvl w:ilvl="7" w:tplc="C742C266">
      <w:numFmt w:val="decimal"/>
      <w:lvlText w:val=""/>
      <w:lvlJc w:val="left"/>
    </w:lvl>
    <w:lvl w:ilvl="8" w:tplc="56BE12FC">
      <w:numFmt w:val="decimal"/>
      <w:lvlText w:val=""/>
      <w:lvlJc w:val="left"/>
    </w:lvl>
  </w:abstractNum>
  <w:abstractNum w:abstractNumId="21">
    <w:nsid w:val="7FDCC233"/>
    <w:multiLevelType w:val="hybridMultilevel"/>
    <w:tmpl w:val="F9F4A714"/>
    <w:lvl w:ilvl="0" w:tplc="3CF628C0">
      <w:start w:val="1"/>
      <w:numFmt w:val="decimal"/>
      <w:lvlText w:val="%1."/>
      <w:lvlJc w:val="left"/>
    </w:lvl>
    <w:lvl w:ilvl="1" w:tplc="A7BC87B8">
      <w:numFmt w:val="decimal"/>
      <w:lvlText w:val=""/>
      <w:lvlJc w:val="left"/>
    </w:lvl>
    <w:lvl w:ilvl="2" w:tplc="2974D5E4">
      <w:numFmt w:val="decimal"/>
      <w:lvlText w:val=""/>
      <w:lvlJc w:val="left"/>
    </w:lvl>
    <w:lvl w:ilvl="3" w:tplc="164E2EEC">
      <w:numFmt w:val="decimal"/>
      <w:lvlText w:val=""/>
      <w:lvlJc w:val="left"/>
    </w:lvl>
    <w:lvl w:ilvl="4" w:tplc="6B7274BA">
      <w:numFmt w:val="decimal"/>
      <w:lvlText w:val=""/>
      <w:lvlJc w:val="left"/>
    </w:lvl>
    <w:lvl w:ilvl="5" w:tplc="8D06A2A0">
      <w:numFmt w:val="decimal"/>
      <w:lvlText w:val=""/>
      <w:lvlJc w:val="left"/>
    </w:lvl>
    <w:lvl w:ilvl="6" w:tplc="72164610">
      <w:numFmt w:val="decimal"/>
      <w:lvlText w:val=""/>
      <w:lvlJc w:val="left"/>
    </w:lvl>
    <w:lvl w:ilvl="7" w:tplc="5CEEA756">
      <w:numFmt w:val="decimal"/>
      <w:lvlText w:val=""/>
      <w:lvlJc w:val="left"/>
    </w:lvl>
    <w:lvl w:ilvl="8" w:tplc="FF60BE06">
      <w:numFmt w:val="decimal"/>
      <w:lvlText w:val=""/>
      <w:lvlJc w:val="left"/>
    </w:lvl>
  </w:abstractNum>
  <w:num w:numId="1">
    <w:abstractNumId w:val="14"/>
  </w:num>
  <w:num w:numId="2">
    <w:abstractNumId w:val="0"/>
  </w:num>
  <w:num w:numId="3">
    <w:abstractNumId w:val="8"/>
  </w:num>
  <w:num w:numId="4">
    <w:abstractNumId w:val="5"/>
  </w:num>
  <w:num w:numId="5">
    <w:abstractNumId w:val="18"/>
  </w:num>
  <w:num w:numId="6">
    <w:abstractNumId w:val="6"/>
  </w:num>
  <w:num w:numId="7">
    <w:abstractNumId w:val="10"/>
  </w:num>
  <w:num w:numId="8">
    <w:abstractNumId w:val="4"/>
  </w:num>
  <w:num w:numId="9">
    <w:abstractNumId w:val="2"/>
  </w:num>
  <w:num w:numId="10">
    <w:abstractNumId w:val="21"/>
  </w:num>
  <w:num w:numId="11">
    <w:abstractNumId w:val="7"/>
  </w:num>
  <w:num w:numId="12">
    <w:abstractNumId w:val="12"/>
  </w:num>
  <w:num w:numId="13">
    <w:abstractNumId w:val="19"/>
  </w:num>
  <w:num w:numId="14">
    <w:abstractNumId w:val="15"/>
  </w:num>
  <w:num w:numId="15">
    <w:abstractNumId w:val="9"/>
  </w:num>
  <w:num w:numId="16">
    <w:abstractNumId w:val="16"/>
  </w:num>
  <w:num w:numId="17">
    <w:abstractNumId w:val="13"/>
  </w:num>
  <w:num w:numId="18">
    <w:abstractNumId w:val="11"/>
  </w:num>
  <w:num w:numId="19">
    <w:abstractNumId w:val="20"/>
  </w:num>
  <w:num w:numId="20">
    <w:abstractNumId w:val="1"/>
  </w:num>
  <w:num w:numId="21">
    <w:abstractNumId w:val="17"/>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18434"/>
  </w:hdrShapeDefaults>
  <w:footnotePr>
    <w:footnote w:id="-1"/>
    <w:footnote w:id="0"/>
  </w:footnotePr>
  <w:endnotePr>
    <w:endnote w:id="-1"/>
    <w:endnote w:id="0"/>
  </w:endnotePr>
  <w:compat>
    <w:useFELayout/>
  </w:compat>
  <w:rsids>
    <w:rsidRoot w:val="0039382F"/>
    <w:rsid w:val="000064EF"/>
    <w:rsid w:val="00033915"/>
    <w:rsid w:val="0006374C"/>
    <w:rsid w:val="00066E95"/>
    <w:rsid w:val="000968FA"/>
    <w:rsid w:val="000F12D0"/>
    <w:rsid w:val="0013472A"/>
    <w:rsid w:val="00136F35"/>
    <w:rsid w:val="00157CE4"/>
    <w:rsid w:val="00161428"/>
    <w:rsid w:val="001674CA"/>
    <w:rsid w:val="001F2A26"/>
    <w:rsid w:val="001F3758"/>
    <w:rsid w:val="0020349E"/>
    <w:rsid w:val="00217F03"/>
    <w:rsid w:val="00224F43"/>
    <w:rsid w:val="00225B48"/>
    <w:rsid w:val="00236870"/>
    <w:rsid w:val="002B786B"/>
    <w:rsid w:val="002D2E80"/>
    <w:rsid w:val="002D6484"/>
    <w:rsid w:val="002D729E"/>
    <w:rsid w:val="002D770A"/>
    <w:rsid w:val="002E1259"/>
    <w:rsid w:val="002E4D91"/>
    <w:rsid w:val="0030416D"/>
    <w:rsid w:val="003157F5"/>
    <w:rsid w:val="003254CC"/>
    <w:rsid w:val="003326CC"/>
    <w:rsid w:val="003343D4"/>
    <w:rsid w:val="003409D0"/>
    <w:rsid w:val="0039382F"/>
    <w:rsid w:val="003A3FE6"/>
    <w:rsid w:val="003B3CDE"/>
    <w:rsid w:val="003B524F"/>
    <w:rsid w:val="003C18F0"/>
    <w:rsid w:val="003C2D87"/>
    <w:rsid w:val="00410F3B"/>
    <w:rsid w:val="00415C5C"/>
    <w:rsid w:val="00423E21"/>
    <w:rsid w:val="004334E6"/>
    <w:rsid w:val="00454F68"/>
    <w:rsid w:val="004664AE"/>
    <w:rsid w:val="004728A4"/>
    <w:rsid w:val="004D0D8E"/>
    <w:rsid w:val="004D2DE4"/>
    <w:rsid w:val="004F135E"/>
    <w:rsid w:val="005042C0"/>
    <w:rsid w:val="00514946"/>
    <w:rsid w:val="00540D1B"/>
    <w:rsid w:val="00562CA4"/>
    <w:rsid w:val="00567605"/>
    <w:rsid w:val="00582B1E"/>
    <w:rsid w:val="005E0852"/>
    <w:rsid w:val="005E5E54"/>
    <w:rsid w:val="005F6FD8"/>
    <w:rsid w:val="00634EF4"/>
    <w:rsid w:val="0063574C"/>
    <w:rsid w:val="0065453C"/>
    <w:rsid w:val="00671B85"/>
    <w:rsid w:val="006957AD"/>
    <w:rsid w:val="00697713"/>
    <w:rsid w:val="006A063E"/>
    <w:rsid w:val="00711865"/>
    <w:rsid w:val="007144D3"/>
    <w:rsid w:val="00717C12"/>
    <w:rsid w:val="00730CA3"/>
    <w:rsid w:val="00732BC3"/>
    <w:rsid w:val="007332FC"/>
    <w:rsid w:val="0076362A"/>
    <w:rsid w:val="00771A18"/>
    <w:rsid w:val="0079429A"/>
    <w:rsid w:val="007C44B1"/>
    <w:rsid w:val="007D751F"/>
    <w:rsid w:val="00810E3F"/>
    <w:rsid w:val="00895437"/>
    <w:rsid w:val="008C1030"/>
    <w:rsid w:val="008C63AF"/>
    <w:rsid w:val="008E0001"/>
    <w:rsid w:val="008E0793"/>
    <w:rsid w:val="008E20ED"/>
    <w:rsid w:val="00900AF4"/>
    <w:rsid w:val="0090308C"/>
    <w:rsid w:val="00930CD4"/>
    <w:rsid w:val="0093205D"/>
    <w:rsid w:val="00950AF7"/>
    <w:rsid w:val="009646D6"/>
    <w:rsid w:val="009663FE"/>
    <w:rsid w:val="009B26D6"/>
    <w:rsid w:val="009B5212"/>
    <w:rsid w:val="009C1C06"/>
    <w:rsid w:val="009E21A8"/>
    <w:rsid w:val="00A02048"/>
    <w:rsid w:val="00A256F9"/>
    <w:rsid w:val="00A42ED2"/>
    <w:rsid w:val="00A7441D"/>
    <w:rsid w:val="00AB1ADC"/>
    <w:rsid w:val="00AD3C3E"/>
    <w:rsid w:val="00AF2AF1"/>
    <w:rsid w:val="00AF35A8"/>
    <w:rsid w:val="00B06672"/>
    <w:rsid w:val="00B258F1"/>
    <w:rsid w:val="00B515D6"/>
    <w:rsid w:val="00B575C2"/>
    <w:rsid w:val="00B66639"/>
    <w:rsid w:val="00B9084D"/>
    <w:rsid w:val="00B9410B"/>
    <w:rsid w:val="00BB53D5"/>
    <w:rsid w:val="00BB7AA4"/>
    <w:rsid w:val="00BE3F5D"/>
    <w:rsid w:val="00BE59DB"/>
    <w:rsid w:val="00BF1839"/>
    <w:rsid w:val="00BF4C84"/>
    <w:rsid w:val="00BF5986"/>
    <w:rsid w:val="00C023C5"/>
    <w:rsid w:val="00C3719F"/>
    <w:rsid w:val="00C504C2"/>
    <w:rsid w:val="00C627FB"/>
    <w:rsid w:val="00C63B97"/>
    <w:rsid w:val="00C9325F"/>
    <w:rsid w:val="00C97DF9"/>
    <w:rsid w:val="00CA7CA8"/>
    <w:rsid w:val="00CC2A3F"/>
    <w:rsid w:val="00CD42F8"/>
    <w:rsid w:val="00CD642B"/>
    <w:rsid w:val="00D01496"/>
    <w:rsid w:val="00D104BB"/>
    <w:rsid w:val="00D142B4"/>
    <w:rsid w:val="00D62300"/>
    <w:rsid w:val="00D800E3"/>
    <w:rsid w:val="00D80802"/>
    <w:rsid w:val="00D85FD2"/>
    <w:rsid w:val="00DB0AAC"/>
    <w:rsid w:val="00DE33E8"/>
    <w:rsid w:val="00E0159C"/>
    <w:rsid w:val="00E17839"/>
    <w:rsid w:val="00E30198"/>
    <w:rsid w:val="00E354FC"/>
    <w:rsid w:val="00EC6168"/>
    <w:rsid w:val="00EC6413"/>
    <w:rsid w:val="00EE2D6D"/>
    <w:rsid w:val="00EE32E3"/>
    <w:rsid w:val="00EE38D1"/>
    <w:rsid w:val="00F507AD"/>
    <w:rsid w:val="00F637CD"/>
    <w:rsid w:val="00F73882"/>
    <w:rsid w:val="00FB35EF"/>
    <w:rsid w:val="00FE2AC3"/>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1A8"/>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Pasussalistom">
    <w:name w:val="List Paragraph"/>
    <w:basedOn w:val="Normal"/>
    <w:uiPriority w:val="34"/>
    <w:qFormat/>
    <w:rsid w:val="00D142B4"/>
    <w:pPr>
      <w:ind w:left="720"/>
      <w:contextualSpacing/>
    </w:pPr>
  </w:style>
  <w:style w:type="table" w:styleId="Koordinatnamreatabele">
    <w:name w:val="Table Grid"/>
    <w:basedOn w:val="Normalnatabela"/>
    <w:uiPriority w:val="59"/>
    <w:rsid w:val="00B258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stranice">
    <w:name w:val="header"/>
    <w:basedOn w:val="Normal"/>
    <w:link w:val="ZaglavljestraniceChar"/>
    <w:uiPriority w:val="99"/>
    <w:unhideWhenUsed/>
    <w:rsid w:val="000F12D0"/>
    <w:pPr>
      <w:tabs>
        <w:tab w:val="center" w:pos="4513"/>
        <w:tab w:val="right" w:pos="9026"/>
      </w:tabs>
    </w:pPr>
  </w:style>
  <w:style w:type="character" w:customStyle="1" w:styleId="ZaglavljestraniceChar">
    <w:name w:val="Zaglavlje stranice Char"/>
    <w:basedOn w:val="Podrazumevanifontpasusa"/>
    <w:link w:val="Zaglavljestranice"/>
    <w:uiPriority w:val="99"/>
    <w:rsid w:val="000F12D0"/>
  </w:style>
  <w:style w:type="paragraph" w:styleId="Podnojestranice">
    <w:name w:val="footer"/>
    <w:basedOn w:val="Normal"/>
    <w:link w:val="PodnojestraniceChar"/>
    <w:uiPriority w:val="99"/>
    <w:unhideWhenUsed/>
    <w:rsid w:val="000F12D0"/>
    <w:pPr>
      <w:tabs>
        <w:tab w:val="center" w:pos="4513"/>
        <w:tab w:val="right" w:pos="9026"/>
      </w:tabs>
    </w:pPr>
  </w:style>
  <w:style w:type="character" w:customStyle="1" w:styleId="PodnojestraniceChar">
    <w:name w:val="Podnožje stranice Char"/>
    <w:basedOn w:val="Podrazumevanifontpasusa"/>
    <w:link w:val="Podnojestranice"/>
    <w:uiPriority w:val="99"/>
    <w:rsid w:val="000F12D0"/>
  </w:style>
  <w:style w:type="character" w:styleId="Hiperveza">
    <w:name w:val="Hyperlink"/>
    <w:basedOn w:val="Podrazumevanifontpasusa"/>
    <w:uiPriority w:val="99"/>
    <w:unhideWhenUsed/>
    <w:rsid w:val="0093205D"/>
    <w:rPr>
      <w:color w:val="0000FF" w:themeColor="hyperlink"/>
      <w:u w:val="single"/>
    </w:rPr>
  </w:style>
  <w:style w:type="paragraph" w:styleId="Tekstubaloniu">
    <w:name w:val="Balloon Text"/>
    <w:basedOn w:val="Normal"/>
    <w:link w:val="TekstubaloniuChar"/>
    <w:uiPriority w:val="99"/>
    <w:semiHidden/>
    <w:unhideWhenUsed/>
    <w:rsid w:val="00F637CD"/>
    <w:rPr>
      <w:rFonts w:ascii="Tahoma" w:hAnsi="Tahoma" w:cs="Tahoma"/>
      <w:sz w:val="16"/>
      <w:szCs w:val="16"/>
    </w:rPr>
  </w:style>
  <w:style w:type="character" w:customStyle="1" w:styleId="TekstubaloniuChar">
    <w:name w:val="Tekst u balončiću Char"/>
    <w:basedOn w:val="Podrazumevanifontpasusa"/>
    <w:link w:val="Tekstubaloniu"/>
    <w:uiPriority w:val="99"/>
    <w:semiHidden/>
    <w:rsid w:val="00F637CD"/>
    <w:rPr>
      <w:rFonts w:ascii="Tahoma" w:hAnsi="Tahoma" w:cs="Tahoma"/>
      <w:sz w:val="16"/>
      <w:szCs w:val="16"/>
    </w:rPr>
  </w:style>
  <w:style w:type="paragraph" w:customStyle="1" w:styleId="Default">
    <w:name w:val="Default"/>
    <w:rsid w:val="00DB0AAC"/>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2B4"/>
    <w:pPr>
      <w:ind w:left="720"/>
      <w:contextualSpacing/>
    </w:pPr>
  </w:style>
  <w:style w:type="table" w:styleId="TableGrid">
    <w:name w:val="Table Grid"/>
    <w:basedOn w:val="TableNormal"/>
    <w:uiPriority w:val="59"/>
    <w:rsid w:val="00B258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2D0"/>
    <w:pPr>
      <w:tabs>
        <w:tab w:val="center" w:pos="4513"/>
        <w:tab w:val="right" w:pos="9026"/>
      </w:tabs>
    </w:pPr>
  </w:style>
  <w:style w:type="character" w:customStyle="1" w:styleId="HeaderChar">
    <w:name w:val="Zaglavlje stranice Char"/>
    <w:basedOn w:val="DefaultParagraphFont"/>
    <w:link w:val="Header"/>
    <w:uiPriority w:val="99"/>
    <w:rsid w:val="000F12D0"/>
  </w:style>
  <w:style w:type="paragraph" w:styleId="Footer">
    <w:name w:val="footer"/>
    <w:basedOn w:val="Normal"/>
    <w:link w:val="FooterChar"/>
    <w:uiPriority w:val="99"/>
    <w:unhideWhenUsed/>
    <w:rsid w:val="000F12D0"/>
    <w:pPr>
      <w:tabs>
        <w:tab w:val="center" w:pos="4513"/>
        <w:tab w:val="right" w:pos="9026"/>
      </w:tabs>
    </w:pPr>
  </w:style>
  <w:style w:type="character" w:customStyle="1" w:styleId="FooterChar">
    <w:name w:val="Podnožje stranice Char"/>
    <w:basedOn w:val="DefaultParagraphFont"/>
    <w:link w:val="Footer"/>
    <w:uiPriority w:val="99"/>
    <w:rsid w:val="000F12D0"/>
  </w:style>
  <w:style w:type="character" w:styleId="Hyperlink">
    <w:name w:val="Hyperlink"/>
    <w:basedOn w:val="DefaultParagraphFont"/>
    <w:uiPriority w:val="99"/>
    <w:unhideWhenUsed/>
    <w:rsid w:val="0093205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69414016">
      <w:bodyDiv w:val="1"/>
      <w:marLeft w:val="0"/>
      <w:marRight w:val="0"/>
      <w:marTop w:val="0"/>
      <w:marBottom w:val="0"/>
      <w:divBdr>
        <w:top w:val="none" w:sz="0" w:space="0" w:color="auto"/>
        <w:left w:val="none" w:sz="0" w:space="0" w:color="auto"/>
        <w:bottom w:val="none" w:sz="0" w:space="0" w:color="auto"/>
        <w:right w:val="none" w:sz="0" w:space="0" w:color="auto"/>
      </w:divBdr>
      <w:divsChild>
        <w:div w:id="1862402275">
          <w:marLeft w:val="0"/>
          <w:marRight w:val="0"/>
          <w:marTop w:val="0"/>
          <w:marBottom w:val="0"/>
          <w:divBdr>
            <w:top w:val="none" w:sz="0" w:space="0" w:color="auto"/>
            <w:left w:val="none" w:sz="0" w:space="0" w:color="auto"/>
            <w:bottom w:val="none" w:sz="0" w:space="0" w:color="auto"/>
            <w:right w:val="none" w:sz="0" w:space="0" w:color="auto"/>
          </w:divBdr>
        </w:div>
        <w:div w:id="26032971">
          <w:marLeft w:val="0"/>
          <w:marRight w:val="0"/>
          <w:marTop w:val="0"/>
          <w:marBottom w:val="0"/>
          <w:divBdr>
            <w:top w:val="none" w:sz="0" w:space="0" w:color="auto"/>
            <w:left w:val="none" w:sz="0" w:space="0" w:color="auto"/>
            <w:bottom w:val="none" w:sz="0" w:space="0" w:color="auto"/>
            <w:right w:val="none" w:sz="0" w:space="0" w:color="auto"/>
          </w:divBdr>
        </w:div>
        <w:div w:id="1480804013">
          <w:marLeft w:val="0"/>
          <w:marRight w:val="0"/>
          <w:marTop w:val="0"/>
          <w:marBottom w:val="0"/>
          <w:divBdr>
            <w:top w:val="none" w:sz="0" w:space="0" w:color="auto"/>
            <w:left w:val="none" w:sz="0" w:space="0" w:color="auto"/>
            <w:bottom w:val="none" w:sz="0" w:space="0" w:color="auto"/>
            <w:right w:val="none" w:sz="0" w:space="0" w:color="auto"/>
          </w:divBdr>
        </w:div>
        <w:div w:id="1965455393">
          <w:marLeft w:val="0"/>
          <w:marRight w:val="0"/>
          <w:marTop w:val="0"/>
          <w:marBottom w:val="0"/>
          <w:divBdr>
            <w:top w:val="none" w:sz="0" w:space="0" w:color="auto"/>
            <w:left w:val="none" w:sz="0" w:space="0" w:color="auto"/>
            <w:bottom w:val="none" w:sz="0" w:space="0" w:color="auto"/>
            <w:right w:val="none" w:sz="0" w:space="0" w:color="auto"/>
          </w:divBdr>
        </w:div>
        <w:div w:id="767504438">
          <w:marLeft w:val="0"/>
          <w:marRight w:val="0"/>
          <w:marTop w:val="0"/>
          <w:marBottom w:val="0"/>
          <w:divBdr>
            <w:top w:val="none" w:sz="0" w:space="0" w:color="auto"/>
            <w:left w:val="none" w:sz="0" w:space="0" w:color="auto"/>
            <w:bottom w:val="none" w:sz="0" w:space="0" w:color="auto"/>
            <w:right w:val="none" w:sz="0" w:space="0" w:color="auto"/>
          </w:divBdr>
        </w:div>
        <w:div w:id="469054360">
          <w:marLeft w:val="0"/>
          <w:marRight w:val="0"/>
          <w:marTop w:val="0"/>
          <w:marBottom w:val="0"/>
          <w:divBdr>
            <w:top w:val="none" w:sz="0" w:space="0" w:color="auto"/>
            <w:left w:val="none" w:sz="0" w:space="0" w:color="auto"/>
            <w:bottom w:val="none" w:sz="0" w:space="0" w:color="auto"/>
            <w:right w:val="none" w:sz="0" w:space="0" w:color="auto"/>
          </w:divBdr>
        </w:div>
        <w:div w:id="1710567585">
          <w:marLeft w:val="0"/>
          <w:marRight w:val="0"/>
          <w:marTop w:val="0"/>
          <w:marBottom w:val="0"/>
          <w:divBdr>
            <w:top w:val="none" w:sz="0" w:space="0" w:color="auto"/>
            <w:left w:val="none" w:sz="0" w:space="0" w:color="auto"/>
            <w:bottom w:val="none" w:sz="0" w:space="0" w:color="auto"/>
            <w:right w:val="none" w:sz="0" w:space="0" w:color="auto"/>
          </w:divBdr>
        </w:div>
        <w:div w:id="622032599">
          <w:marLeft w:val="0"/>
          <w:marRight w:val="0"/>
          <w:marTop w:val="0"/>
          <w:marBottom w:val="0"/>
          <w:divBdr>
            <w:top w:val="none" w:sz="0" w:space="0" w:color="auto"/>
            <w:left w:val="none" w:sz="0" w:space="0" w:color="auto"/>
            <w:bottom w:val="none" w:sz="0" w:space="0" w:color="auto"/>
            <w:right w:val="none" w:sz="0" w:space="0" w:color="auto"/>
          </w:divBdr>
        </w:div>
        <w:div w:id="1278567492">
          <w:marLeft w:val="0"/>
          <w:marRight w:val="0"/>
          <w:marTop w:val="0"/>
          <w:marBottom w:val="0"/>
          <w:divBdr>
            <w:top w:val="none" w:sz="0" w:space="0" w:color="auto"/>
            <w:left w:val="none" w:sz="0" w:space="0" w:color="auto"/>
            <w:bottom w:val="none" w:sz="0" w:space="0" w:color="auto"/>
            <w:right w:val="none" w:sz="0" w:space="0" w:color="auto"/>
          </w:divBdr>
        </w:div>
      </w:divsChild>
    </w:div>
    <w:div w:id="1340624849">
      <w:bodyDiv w:val="1"/>
      <w:marLeft w:val="0"/>
      <w:marRight w:val="0"/>
      <w:marTop w:val="0"/>
      <w:marBottom w:val="0"/>
      <w:divBdr>
        <w:top w:val="none" w:sz="0" w:space="0" w:color="auto"/>
        <w:left w:val="none" w:sz="0" w:space="0" w:color="auto"/>
        <w:bottom w:val="none" w:sz="0" w:space="0" w:color="auto"/>
        <w:right w:val="none" w:sz="0" w:space="0" w:color="auto"/>
      </w:divBdr>
      <w:divsChild>
        <w:div w:id="1754430720">
          <w:marLeft w:val="0"/>
          <w:marRight w:val="0"/>
          <w:marTop w:val="0"/>
          <w:marBottom w:val="0"/>
          <w:divBdr>
            <w:top w:val="none" w:sz="0" w:space="0" w:color="auto"/>
            <w:left w:val="none" w:sz="0" w:space="0" w:color="auto"/>
            <w:bottom w:val="none" w:sz="0" w:space="0" w:color="auto"/>
            <w:right w:val="none" w:sz="0" w:space="0" w:color="auto"/>
          </w:divBdr>
        </w:div>
        <w:div w:id="617680615">
          <w:marLeft w:val="0"/>
          <w:marRight w:val="0"/>
          <w:marTop w:val="0"/>
          <w:marBottom w:val="0"/>
          <w:divBdr>
            <w:top w:val="none" w:sz="0" w:space="0" w:color="auto"/>
            <w:left w:val="none" w:sz="0" w:space="0" w:color="auto"/>
            <w:bottom w:val="none" w:sz="0" w:space="0" w:color="auto"/>
            <w:right w:val="none" w:sz="0" w:space="0" w:color="auto"/>
          </w:divBdr>
        </w:div>
        <w:div w:id="818153698">
          <w:marLeft w:val="0"/>
          <w:marRight w:val="0"/>
          <w:marTop w:val="0"/>
          <w:marBottom w:val="0"/>
          <w:divBdr>
            <w:top w:val="none" w:sz="0" w:space="0" w:color="auto"/>
            <w:left w:val="none" w:sz="0" w:space="0" w:color="auto"/>
            <w:bottom w:val="none" w:sz="0" w:space="0" w:color="auto"/>
            <w:right w:val="none" w:sz="0" w:space="0" w:color="auto"/>
          </w:divBdr>
        </w:div>
        <w:div w:id="1150904199">
          <w:marLeft w:val="0"/>
          <w:marRight w:val="0"/>
          <w:marTop w:val="0"/>
          <w:marBottom w:val="0"/>
          <w:divBdr>
            <w:top w:val="none" w:sz="0" w:space="0" w:color="auto"/>
            <w:left w:val="none" w:sz="0" w:space="0" w:color="auto"/>
            <w:bottom w:val="none" w:sz="0" w:space="0" w:color="auto"/>
            <w:right w:val="none" w:sz="0" w:space="0" w:color="auto"/>
          </w:divBdr>
        </w:div>
        <w:div w:id="1145970331">
          <w:marLeft w:val="0"/>
          <w:marRight w:val="0"/>
          <w:marTop w:val="0"/>
          <w:marBottom w:val="0"/>
          <w:divBdr>
            <w:top w:val="none" w:sz="0" w:space="0" w:color="auto"/>
            <w:left w:val="none" w:sz="0" w:space="0" w:color="auto"/>
            <w:bottom w:val="none" w:sz="0" w:space="0" w:color="auto"/>
            <w:right w:val="none" w:sz="0" w:space="0" w:color="auto"/>
          </w:divBdr>
        </w:div>
        <w:div w:id="716046812">
          <w:marLeft w:val="0"/>
          <w:marRight w:val="0"/>
          <w:marTop w:val="0"/>
          <w:marBottom w:val="0"/>
          <w:divBdr>
            <w:top w:val="none" w:sz="0" w:space="0" w:color="auto"/>
            <w:left w:val="none" w:sz="0" w:space="0" w:color="auto"/>
            <w:bottom w:val="none" w:sz="0" w:space="0" w:color="auto"/>
            <w:right w:val="none" w:sz="0" w:space="0" w:color="auto"/>
          </w:divBdr>
        </w:div>
        <w:div w:id="1682974399">
          <w:marLeft w:val="0"/>
          <w:marRight w:val="0"/>
          <w:marTop w:val="0"/>
          <w:marBottom w:val="0"/>
          <w:divBdr>
            <w:top w:val="none" w:sz="0" w:space="0" w:color="auto"/>
            <w:left w:val="none" w:sz="0" w:space="0" w:color="auto"/>
            <w:bottom w:val="none" w:sz="0" w:space="0" w:color="auto"/>
            <w:right w:val="none" w:sz="0" w:space="0" w:color="auto"/>
          </w:divBdr>
        </w:div>
        <w:div w:id="2093314355">
          <w:marLeft w:val="0"/>
          <w:marRight w:val="0"/>
          <w:marTop w:val="0"/>
          <w:marBottom w:val="0"/>
          <w:divBdr>
            <w:top w:val="none" w:sz="0" w:space="0" w:color="auto"/>
            <w:left w:val="none" w:sz="0" w:space="0" w:color="auto"/>
            <w:bottom w:val="none" w:sz="0" w:space="0" w:color="auto"/>
            <w:right w:val="none" w:sz="0" w:space="0" w:color="auto"/>
          </w:divBdr>
        </w:div>
        <w:div w:id="1333215822">
          <w:marLeft w:val="0"/>
          <w:marRight w:val="0"/>
          <w:marTop w:val="0"/>
          <w:marBottom w:val="0"/>
          <w:divBdr>
            <w:top w:val="none" w:sz="0" w:space="0" w:color="auto"/>
            <w:left w:val="none" w:sz="0" w:space="0" w:color="auto"/>
            <w:bottom w:val="none" w:sz="0" w:space="0" w:color="auto"/>
            <w:right w:val="none" w:sz="0" w:space="0" w:color="auto"/>
          </w:divBdr>
        </w:div>
        <w:div w:id="1297182010">
          <w:marLeft w:val="0"/>
          <w:marRight w:val="0"/>
          <w:marTop w:val="0"/>
          <w:marBottom w:val="0"/>
          <w:divBdr>
            <w:top w:val="none" w:sz="0" w:space="0" w:color="auto"/>
            <w:left w:val="none" w:sz="0" w:space="0" w:color="auto"/>
            <w:bottom w:val="none" w:sz="0" w:space="0" w:color="auto"/>
            <w:right w:val="none" w:sz="0" w:space="0" w:color="auto"/>
          </w:divBdr>
        </w:div>
        <w:div w:id="1728070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inansije@opstinamalocrnice.rs"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4F95E-CE1A-4E86-81E4-522E0DC3D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1323</TotalTime>
  <Pages>12</Pages>
  <Words>4409</Words>
  <Characters>25132</Characters>
  <Application>Microsoft Office Word</Application>
  <DocSecurity>0</DocSecurity>
  <Lines>209</Lines>
  <Paragraphs>58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Sima</cp:lastModifiedBy>
  <cp:revision>71</cp:revision>
  <cp:lastPrinted>2017-07-26T11:31:00Z</cp:lastPrinted>
  <dcterms:created xsi:type="dcterms:W3CDTF">2017-07-21T01:26:00Z</dcterms:created>
  <dcterms:modified xsi:type="dcterms:W3CDTF">2018-07-24T12:07:00Z</dcterms:modified>
</cp:coreProperties>
</file>