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F4" w:rsidRPr="00FD67EC" w:rsidRDefault="008E33F4" w:rsidP="008E33F4">
      <w:pPr>
        <w:pStyle w:val="Default"/>
        <w:jc w:val="both"/>
        <w:rPr>
          <w:rFonts w:hAnsi="Times New Roman"/>
          <w:lang w:val="sr-Cyrl-CS"/>
        </w:rPr>
      </w:pPr>
      <w:r>
        <w:rPr>
          <w:rFonts w:hAnsi="Times New Roman"/>
        </w:rPr>
        <w:t xml:space="preserve">REPUBLIKA SRBIJA                                         </w:t>
      </w:r>
      <w:r>
        <w:rPr>
          <w:noProof/>
          <w:sz w:val="20"/>
          <w:szCs w:val="20"/>
          <w:lang w:val="en-US" w:eastAsia="en-US" w:bidi="ar-SA"/>
        </w:rPr>
        <w:drawing>
          <wp:inline distT="0" distB="0" distL="0" distR="0">
            <wp:extent cx="664845" cy="819150"/>
            <wp:effectExtent l="19050" t="0" r="1905" b="0"/>
            <wp:docPr id="2" name="Picture 1" descr="grb opš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štine"/>
                    <pic:cNvPicPr>
                      <a:picLocks noChangeAspect="1" noChangeArrowheads="1"/>
                    </pic:cNvPicPr>
                  </pic:nvPicPr>
                  <pic:blipFill>
                    <a:blip r:embed="rId5"/>
                    <a:srcRect/>
                    <a:stretch>
                      <a:fillRect/>
                    </a:stretch>
                  </pic:blipFill>
                  <pic:spPr bwMode="auto">
                    <a:xfrm>
                      <a:off x="0" y="0"/>
                      <a:ext cx="664845" cy="819150"/>
                    </a:xfrm>
                    <a:prstGeom prst="rect">
                      <a:avLst/>
                    </a:prstGeom>
                    <a:noFill/>
                    <a:ln w="9525">
                      <a:noFill/>
                      <a:miter lim="800000"/>
                      <a:headEnd/>
                      <a:tailEnd/>
                    </a:ln>
                  </pic:spPr>
                </pic:pic>
              </a:graphicData>
            </a:graphic>
          </wp:inline>
        </w:drawing>
      </w:r>
    </w:p>
    <w:p w:rsidR="008E33F4" w:rsidRPr="00E2285E" w:rsidRDefault="008E33F4" w:rsidP="008E33F4">
      <w:pPr>
        <w:pStyle w:val="Default"/>
        <w:rPr>
          <w:rFonts w:hAnsi="Times New Roman"/>
        </w:rPr>
      </w:pPr>
      <w:r>
        <w:rPr>
          <w:rFonts w:hAnsi="Times New Roman"/>
        </w:rPr>
        <w:t>ОPŠTINA MALO CRNIĆE</w:t>
      </w:r>
    </w:p>
    <w:p w:rsidR="008E33F4" w:rsidRPr="00E2285E" w:rsidRDefault="008E33F4" w:rsidP="008E33F4">
      <w:pPr>
        <w:pStyle w:val="Default"/>
        <w:rPr>
          <w:rFonts w:hAnsi="Times New Roman"/>
        </w:rPr>
      </w:pPr>
      <w:r>
        <w:rPr>
          <w:rFonts w:hAnsi="Times New Roman"/>
        </w:rPr>
        <w:t>SLUŽBA ZA BUDŽETSKU INSPEKCIJU</w:t>
      </w:r>
    </w:p>
    <w:p w:rsidR="008E33F4" w:rsidRDefault="008E33F4" w:rsidP="008E33F4">
      <w:pPr>
        <w:pStyle w:val="Default"/>
        <w:rPr>
          <w:rFonts w:hAnsi="Times New Roman"/>
        </w:rPr>
      </w:pPr>
      <w:r>
        <w:rPr>
          <w:rFonts w:hAnsi="Times New Roman"/>
        </w:rPr>
        <w:t>Broj:</w:t>
      </w:r>
    </w:p>
    <w:p w:rsidR="008E33F4" w:rsidRDefault="008E33F4" w:rsidP="008E33F4">
      <w:pPr>
        <w:pStyle w:val="Default"/>
        <w:rPr>
          <w:rFonts w:hAnsi="Times New Roman"/>
        </w:rPr>
      </w:pPr>
      <w:r>
        <w:rPr>
          <w:rFonts w:hAnsi="Times New Roman"/>
        </w:rPr>
        <w:t>Dana:</w:t>
      </w:r>
    </w:p>
    <w:p w:rsidR="004B4231" w:rsidRPr="00F91F0D" w:rsidRDefault="004B4231" w:rsidP="004B4231">
      <w:pPr>
        <w:rPr>
          <w:rFonts w:ascii="Times New Roman" w:hAnsi="Times New Roman" w:cs="Times New Roman"/>
        </w:rPr>
      </w:pPr>
    </w:p>
    <w:p w:rsidR="004B4231" w:rsidRPr="00F91F0D" w:rsidRDefault="004B4231" w:rsidP="004B4231">
      <w:pPr>
        <w:pStyle w:val="NoSpacing"/>
        <w:jc w:val="center"/>
        <w:rPr>
          <w:rFonts w:cs="Times New Roman"/>
        </w:rPr>
      </w:pPr>
      <w:r w:rsidRPr="00F91F0D">
        <w:rPr>
          <w:rFonts w:cs="Times New Roman"/>
        </w:rPr>
        <w:t>KONTROLNA LISTA</w:t>
      </w:r>
      <w:r w:rsidR="00624ECC">
        <w:rPr>
          <w:rFonts w:cs="Times New Roman"/>
        </w:rPr>
        <w:t xml:space="preserve"> ZA VRŠENJE INSPEKCIJSKOG NADZORA </w:t>
      </w:r>
    </w:p>
    <w:p w:rsidR="004B4231" w:rsidRPr="00F91F0D" w:rsidRDefault="004B4231" w:rsidP="004B4231">
      <w:pPr>
        <w:pStyle w:val="NoSpacing"/>
        <w:jc w:val="center"/>
        <w:rPr>
          <w:rFonts w:cs="Times New Roman"/>
        </w:rPr>
      </w:pPr>
      <w:r w:rsidRPr="00F91F0D">
        <w:rPr>
          <w:rFonts w:cs="Times New Roman"/>
        </w:rPr>
        <w:t>ZA INDIREKTNE KORISNIKE BUD</w:t>
      </w:r>
      <w:r w:rsidR="00C51DA2">
        <w:rPr>
          <w:rFonts w:cs="Times New Roman"/>
        </w:rPr>
        <w:t>Ž</w:t>
      </w:r>
      <w:r w:rsidRPr="00F91F0D">
        <w:rPr>
          <w:rFonts w:cs="Times New Roman"/>
        </w:rPr>
        <w:t>ETSKIH SREDSTAVA I KORISNIKE</w:t>
      </w:r>
    </w:p>
    <w:p w:rsidR="004B4231" w:rsidRPr="00F91F0D" w:rsidRDefault="004B4231" w:rsidP="004B4231">
      <w:pPr>
        <w:jc w:val="center"/>
        <w:rPr>
          <w:rFonts w:ascii="Times New Roman" w:hAnsi="Times New Roman" w:cs="Times New Roman"/>
        </w:rPr>
      </w:pPr>
      <w:r w:rsidRPr="00F91F0D">
        <w:rPr>
          <w:rFonts w:ascii="Times New Roman" w:hAnsi="Times New Roman" w:cs="Times New Roman"/>
        </w:rPr>
        <w:t>JAVNIH SREDSTAVA</w:t>
      </w:r>
    </w:p>
    <w:p w:rsidR="006F6D1F" w:rsidRPr="00F91F0D" w:rsidRDefault="006F6D1F" w:rsidP="004B4231">
      <w:pPr>
        <w:jc w:val="center"/>
        <w:rPr>
          <w:rFonts w:ascii="Times New Roman" w:hAnsi="Times New Roman" w:cs="Times New Roman"/>
        </w:rPr>
      </w:pPr>
    </w:p>
    <w:p w:rsidR="006F6D1F" w:rsidRPr="00F91F0D" w:rsidRDefault="006F6D1F" w:rsidP="004B4231">
      <w:pPr>
        <w:jc w:val="center"/>
        <w:rPr>
          <w:rFonts w:ascii="Times New Roman" w:hAnsi="Times New Roman" w:cs="Times New Roman"/>
        </w:rPr>
      </w:pPr>
    </w:p>
    <w:tbl>
      <w:tblPr>
        <w:tblStyle w:val="TableGrid"/>
        <w:tblW w:w="0" w:type="auto"/>
        <w:tblLook w:val="04A0"/>
      </w:tblPr>
      <w:tblGrid>
        <w:gridCol w:w="4640"/>
        <w:gridCol w:w="35"/>
        <w:gridCol w:w="4675"/>
      </w:tblGrid>
      <w:tr w:rsidR="006F6D1F" w:rsidRPr="00F91F0D" w:rsidTr="006371E0">
        <w:tc>
          <w:tcPr>
            <w:tcW w:w="9350" w:type="dxa"/>
            <w:gridSpan w:val="3"/>
            <w:shd w:val="clear" w:color="auto" w:fill="BFBFBF" w:themeFill="background1" w:themeFillShade="BF"/>
          </w:tcPr>
          <w:p w:rsidR="006F6D1F" w:rsidRPr="00F91F0D" w:rsidRDefault="006371E0" w:rsidP="006371E0">
            <w:pPr>
              <w:jc w:val="center"/>
              <w:rPr>
                <w:rFonts w:ascii="Times New Roman" w:hAnsi="Times New Roman" w:cs="Times New Roman"/>
              </w:rPr>
            </w:pPr>
            <w:r w:rsidRPr="00F91F0D">
              <w:rPr>
                <w:rFonts w:ascii="Times New Roman" w:hAnsi="Times New Roman" w:cs="Times New Roman"/>
              </w:rPr>
              <w:t>IDENTIFIKACIONI PODACI</w:t>
            </w:r>
          </w:p>
        </w:tc>
      </w:tr>
      <w:tr w:rsidR="006F6D1F" w:rsidRPr="00F91F0D" w:rsidTr="006371E0">
        <w:tc>
          <w:tcPr>
            <w:tcW w:w="9350" w:type="dxa"/>
            <w:gridSpan w:val="3"/>
            <w:shd w:val="clear" w:color="auto" w:fill="BFBFBF" w:themeFill="background1" w:themeFillShade="BF"/>
          </w:tcPr>
          <w:p w:rsidR="006F6D1F" w:rsidRPr="00F91F0D" w:rsidRDefault="006371E0" w:rsidP="006F6D1F">
            <w:pPr>
              <w:rPr>
                <w:rFonts w:ascii="Times New Roman" w:hAnsi="Times New Roman" w:cs="Times New Roman"/>
              </w:rPr>
            </w:pPr>
            <w:r w:rsidRPr="00F91F0D">
              <w:rPr>
                <w:rFonts w:ascii="Times New Roman" w:hAnsi="Times New Roman" w:cs="Times New Roman"/>
              </w:rPr>
              <w:t>PODACI O PRAVNOM LICU</w:t>
            </w: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Naziv pravnog lica</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Adresa</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PIB</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Matični broj</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Telefon/faks</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Internet strana</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e-mail</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Osnivački akt</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Statut</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Br. reš. o upisu u sudski registar</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6F6D1F">
        <w:tc>
          <w:tcPr>
            <w:tcW w:w="4640" w:type="dxa"/>
          </w:tcPr>
          <w:p w:rsidR="006371E0" w:rsidRPr="00F91F0D" w:rsidRDefault="006371E0" w:rsidP="006371E0">
            <w:pPr>
              <w:rPr>
                <w:rFonts w:ascii="Times New Roman" w:hAnsi="Times New Roman" w:cs="Times New Roman"/>
              </w:rPr>
            </w:pPr>
            <w:r w:rsidRPr="00F91F0D">
              <w:rPr>
                <w:rFonts w:ascii="Times New Roman" w:hAnsi="Times New Roman" w:cs="Times New Roman"/>
              </w:rPr>
              <w:t>Računi platnog prometa</w:t>
            </w:r>
          </w:p>
        </w:tc>
        <w:tc>
          <w:tcPr>
            <w:tcW w:w="4710" w:type="dxa"/>
            <w:gridSpan w:val="2"/>
          </w:tcPr>
          <w:p w:rsidR="006371E0" w:rsidRPr="00F91F0D" w:rsidRDefault="006371E0" w:rsidP="006371E0">
            <w:pPr>
              <w:rPr>
                <w:rFonts w:ascii="Times New Roman" w:hAnsi="Times New Roman" w:cs="Times New Roman"/>
              </w:rPr>
            </w:pPr>
          </w:p>
        </w:tc>
      </w:tr>
      <w:tr w:rsidR="006371E0" w:rsidRPr="00F91F0D" w:rsidTr="00F54F14">
        <w:tc>
          <w:tcPr>
            <w:tcW w:w="9350" w:type="dxa"/>
            <w:gridSpan w:val="3"/>
            <w:shd w:val="clear" w:color="auto" w:fill="BFBFBF" w:themeFill="background1" w:themeFillShade="BF"/>
          </w:tcPr>
          <w:p w:rsidR="006371E0" w:rsidRPr="00F91F0D" w:rsidRDefault="006371E0" w:rsidP="00F54F14">
            <w:pPr>
              <w:rPr>
                <w:rFonts w:ascii="Times New Roman" w:hAnsi="Times New Roman" w:cs="Times New Roman"/>
              </w:rPr>
            </w:pPr>
            <w:r w:rsidRPr="00F91F0D">
              <w:rPr>
                <w:rFonts w:ascii="Times New Roman" w:hAnsi="Times New Roman" w:cs="Times New Roman"/>
              </w:rPr>
              <w:t>PODACI O ODGOVORNOM LICU</w:t>
            </w: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Ime i prezime</w:t>
            </w:r>
          </w:p>
        </w:tc>
        <w:tc>
          <w:tcPr>
            <w:tcW w:w="4675" w:type="dxa"/>
          </w:tcPr>
          <w:p w:rsidR="006371E0" w:rsidRPr="00F91F0D" w:rsidRDefault="006371E0" w:rsidP="006371E0">
            <w:pPr>
              <w:rPr>
                <w:rFonts w:ascii="Times New Roman" w:hAnsi="Times New Roman" w:cs="Times New Roman"/>
              </w:rPr>
            </w:pP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Funkcija</w:t>
            </w:r>
          </w:p>
        </w:tc>
        <w:tc>
          <w:tcPr>
            <w:tcW w:w="4675" w:type="dxa"/>
          </w:tcPr>
          <w:p w:rsidR="006371E0" w:rsidRPr="00F91F0D" w:rsidRDefault="006371E0" w:rsidP="006371E0">
            <w:pPr>
              <w:rPr>
                <w:rFonts w:ascii="Times New Roman" w:hAnsi="Times New Roman" w:cs="Times New Roman"/>
              </w:rPr>
            </w:pP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Rešenje o imenovanju</w:t>
            </w:r>
          </w:p>
        </w:tc>
        <w:tc>
          <w:tcPr>
            <w:tcW w:w="4675" w:type="dxa"/>
          </w:tcPr>
          <w:p w:rsidR="006371E0" w:rsidRPr="00F91F0D" w:rsidRDefault="006371E0" w:rsidP="006371E0">
            <w:pPr>
              <w:rPr>
                <w:rFonts w:ascii="Times New Roman" w:hAnsi="Times New Roman" w:cs="Times New Roman"/>
              </w:rPr>
            </w:pP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JMBG</w:t>
            </w:r>
          </w:p>
        </w:tc>
        <w:tc>
          <w:tcPr>
            <w:tcW w:w="4675" w:type="dxa"/>
          </w:tcPr>
          <w:p w:rsidR="006371E0" w:rsidRPr="00F91F0D" w:rsidRDefault="006371E0" w:rsidP="006371E0">
            <w:pPr>
              <w:rPr>
                <w:rFonts w:ascii="Times New Roman" w:hAnsi="Times New Roman" w:cs="Times New Roman"/>
              </w:rPr>
            </w:pP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Telefon</w:t>
            </w:r>
          </w:p>
        </w:tc>
        <w:tc>
          <w:tcPr>
            <w:tcW w:w="4675" w:type="dxa"/>
          </w:tcPr>
          <w:p w:rsidR="006371E0" w:rsidRPr="00F91F0D" w:rsidRDefault="006371E0" w:rsidP="006371E0">
            <w:pPr>
              <w:rPr>
                <w:rFonts w:ascii="Times New Roman" w:hAnsi="Times New Roman" w:cs="Times New Roman"/>
              </w:rPr>
            </w:pPr>
          </w:p>
        </w:tc>
      </w:tr>
      <w:tr w:rsidR="006371E0" w:rsidRPr="00F91F0D" w:rsidTr="00F54F14">
        <w:tc>
          <w:tcPr>
            <w:tcW w:w="9350" w:type="dxa"/>
            <w:gridSpan w:val="3"/>
            <w:shd w:val="clear" w:color="auto" w:fill="BFBFBF" w:themeFill="background1" w:themeFillShade="BF"/>
          </w:tcPr>
          <w:p w:rsidR="006371E0" w:rsidRPr="00F91F0D" w:rsidRDefault="006371E0" w:rsidP="006371E0">
            <w:pPr>
              <w:rPr>
                <w:rFonts w:ascii="Times New Roman" w:hAnsi="Times New Roman" w:cs="Times New Roman"/>
              </w:rPr>
            </w:pPr>
            <w:r w:rsidRPr="00F91F0D">
              <w:rPr>
                <w:rFonts w:ascii="Times New Roman" w:hAnsi="Times New Roman" w:cs="Times New Roman"/>
              </w:rPr>
              <w:t>LICE ZA KONTAKT</w:t>
            </w:r>
          </w:p>
        </w:tc>
      </w:tr>
      <w:tr w:rsidR="006371E0" w:rsidRPr="00F91F0D" w:rsidTr="00F54F14">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Ime i prezime</w:t>
            </w:r>
          </w:p>
        </w:tc>
        <w:tc>
          <w:tcPr>
            <w:tcW w:w="4675" w:type="dxa"/>
          </w:tcPr>
          <w:p w:rsidR="006371E0" w:rsidRPr="00F91F0D" w:rsidRDefault="006371E0" w:rsidP="006371E0">
            <w:pPr>
              <w:rPr>
                <w:rFonts w:ascii="Times New Roman" w:hAnsi="Times New Roman" w:cs="Times New Roman"/>
              </w:rPr>
            </w:pPr>
          </w:p>
        </w:tc>
      </w:tr>
      <w:tr w:rsidR="006371E0" w:rsidRPr="00F91F0D" w:rsidTr="006371E0">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Funkcija</w:t>
            </w:r>
          </w:p>
        </w:tc>
        <w:tc>
          <w:tcPr>
            <w:tcW w:w="4675" w:type="dxa"/>
          </w:tcPr>
          <w:p w:rsidR="006371E0" w:rsidRPr="00F91F0D" w:rsidRDefault="006371E0" w:rsidP="006371E0">
            <w:pPr>
              <w:rPr>
                <w:rFonts w:ascii="Times New Roman" w:hAnsi="Times New Roman" w:cs="Times New Roman"/>
              </w:rPr>
            </w:pPr>
          </w:p>
        </w:tc>
      </w:tr>
      <w:tr w:rsidR="006371E0" w:rsidRPr="00F91F0D" w:rsidTr="006371E0">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Telefon</w:t>
            </w:r>
          </w:p>
        </w:tc>
        <w:tc>
          <w:tcPr>
            <w:tcW w:w="4675" w:type="dxa"/>
          </w:tcPr>
          <w:p w:rsidR="006371E0" w:rsidRPr="00F91F0D" w:rsidRDefault="006371E0" w:rsidP="006371E0">
            <w:pPr>
              <w:rPr>
                <w:rFonts w:ascii="Times New Roman" w:hAnsi="Times New Roman" w:cs="Times New Roman"/>
              </w:rPr>
            </w:pPr>
          </w:p>
        </w:tc>
      </w:tr>
      <w:tr w:rsidR="006371E0" w:rsidRPr="00F91F0D" w:rsidTr="006371E0">
        <w:tc>
          <w:tcPr>
            <w:tcW w:w="4675" w:type="dxa"/>
            <w:gridSpan w:val="2"/>
          </w:tcPr>
          <w:p w:rsidR="006371E0" w:rsidRPr="00F91F0D" w:rsidRDefault="006371E0" w:rsidP="006371E0">
            <w:pPr>
              <w:rPr>
                <w:rFonts w:ascii="Times New Roman" w:hAnsi="Times New Roman" w:cs="Times New Roman"/>
              </w:rPr>
            </w:pPr>
            <w:r w:rsidRPr="00F91F0D">
              <w:rPr>
                <w:rFonts w:ascii="Times New Roman" w:hAnsi="Times New Roman" w:cs="Times New Roman"/>
              </w:rPr>
              <w:t>e-mail</w:t>
            </w:r>
          </w:p>
        </w:tc>
        <w:tc>
          <w:tcPr>
            <w:tcW w:w="4675" w:type="dxa"/>
          </w:tcPr>
          <w:p w:rsidR="006371E0" w:rsidRPr="00F91F0D" w:rsidRDefault="006371E0" w:rsidP="006371E0">
            <w:pPr>
              <w:rPr>
                <w:rFonts w:ascii="Times New Roman" w:hAnsi="Times New Roman" w:cs="Times New Roman"/>
              </w:rPr>
            </w:pPr>
          </w:p>
        </w:tc>
      </w:tr>
    </w:tbl>
    <w:p w:rsidR="006371E0" w:rsidRDefault="006371E0" w:rsidP="006F6D1F">
      <w:pPr>
        <w:rPr>
          <w:rFonts w:ascii="Times New Roman" w:hAnsi="Times New Roman" w:cs="Times New Roman"/>
        </w:rPr>
      </w:pPr>
    </w:p>
    <w:p w:rsidR="001E10F8" w:rsidRPr="00F91F0D" w:rsidRDefault="001E10F8" w:rsidP="006F6D1F">
      <w:pPr>
        <w:rPr>
          <w:rFonts w:ascii="Times New Roman" w:hAnsi="Times New Roman" w:cs="Times New Roman"/>
        </w:rPr>
      </w:pPr>
    </w:p>
    <w:tbl>
      <w:tblPr>
        <w:tblStyle w:val="TableGrid"/>
        <w:tblW w:w="0" w:type="auto"/>
        <w:jc w:val="center"/>
        <w:tblLook w:val="04A0"/>
      </w:tblPr>
      <w:tblGrid>
        <w:gridCol w:w="534"/>
        <w:gridCol w:w="7708"/>
        <w:gridCol w:w="562"/>
        <w:gridCol w:w="536"/>
      </w:tblGrid>
      <w:tr w:rsidR="007A0287" w:rsidRPr="00F91F0D" w:rsidTr="000B5C3F">
        <w:trPr>
          <w:trHeight w:val="65"/>
          <w:jc w:val="center"/>
        </w:trPr>
        <w:tc>
          <w:tcPr>
            <w:tcW w:w="9340" w:type="dxa"/>
            <w:gridSpan w:val="4"/>
            <w:shd w:val="clear" w:color="auto" w:fill="BFBFBF" w:themeFill="background1" w:themeFillShade="BF"/>
          </w:tcPr>
          <w:p w:rsidR="007A0287" w:rsidRPr="00F91F0D" w:rsidRDefault="007A0287" w:rsidP="006F6D1F">
            <w:pPr>
              <w:rPr>
                <w:rFonts w:ascii="Times New Roman" w:hAnsi="Times New Roman" w:cs="Times New Roman"/>
              </w:rPr>
            </w:pPr>
            <w:r w:rsidRPr="00F91F0D">
              <w:rPr>
                <w:rFonts w:ascii="Times New Roman" w:hAnsi="Times New Roman" w:cs="Times New Roman"/>
              </w:rPr>
              <w:t>I. RADNI ODNOSI I ZARADE</w:t>
            </w:r>
          </w:p>
        </w:tc>
      </w:tr>
      <w:tr w:rsidR="007A0287" w:rsidRPr="00F91F0D" w:rsidTr="000B5C3F">
        <w:trPr>
          <w:trHeight w:val="65"/>
          <w:jc w:val="center"/>
        </w:trPr>
        <w:tc>
          <w:tcPr>
            <w:tcW w:w="534" w:type="dxa"/>
          </w:tcPr>
          <w:p w:rsidR="007A0287" w:rsidRPr="00F91F0D" w:rsidRDefault="007A0287" w:rsidP="007A0287">
            <w:pPr>
              <w:rPr>
                <w:rFonts w:ascii="Times New Roman" w:hAnsi="Times New Roman" w:cs="Times New Roman"/>
              </w:rPr>
            </w:pPr>
            <w:r w:rsidRPr="00F91F0D">
              <w:rPr>
                <w:rFonts w:ascii="Times New Roman" w:hAnsi="Times New Roman" w:cs="Times New Roman"/>
              </w:rPr>
              <w:t>1.</w:t>
            </w:r>
          </w:p>
        </w:tc>
        <w:tc>
          <w:tcPr>
            <w:tcW w:w="7708" w:type="dxa"/>
            <w:vAlign w:val="center"/>
          </w:tcPr>
          <w:p w:rsidR="00F30BD9" w:rsidRDefault="00F30BD9" w:rsidP="007A0287">
            <w:pPr>
              <w:jc w:val="both"/>
              <w:rPr>
                <w:rFonts w:ascii="Times New Roman" w:hAnsi="Times New Roman" w:cs="Times New Roman"/>
              </w:rPr>
            </w:pPr>
          </w:p>
          <w:p w:rsidR="007A0287" w:rsidRDefault="007A0287" w:rsidP="007A0287">
            <w:pPr>
              <w:jc w:val="both"/>
              <w:rPr>
                <w:rFonts w:ascii="Times New Roman" w:hAnsi="Times New Roman" w:cs="Times New Roman"/>
              </w:rPr>
            </w:pPr>
            <w:r w:rsidRPr="00F91F0D">
              <w:rPr>
                <w:rFonts w:ascii="Times New Roman" w:hAnsi="Times New Roman" w:cs="Times New Roman"/>
              </w:rPr>
              <w:t>Korisnik budžetskih sredstava doneo je odgovarajući Pravilnik o sistematizaciji</w:t>
            </w:r>
          </w:p>
          <w:p w:rsidR="00F30BD9" w:rsidRPr="00F91F0D" w:rsidRDefault="00F30BD9" w:rsidP="007A0287">
            <w:pPr>
              <w:jc w:val="both"/>
              <w:rPr>
                <w:rFonts w:ascii="Times New Roman" w:hAnsi="Times New Roman" w:cs="Times New Roman"/>
              </w:rPr>
            </w:pPr>
          </w:p>
        </w:tc>
        <w:tc>
          <w:tcPr>
            <w:tcW w:w="562" w:type="dxa"/>
            <w:vAlign w:val="center"/>
          </w:tcPr>
          <w:p w:rsidR="007A0287"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7A0287" w:rsidRPr="00F91F0D" w:rsidRDefault="00F91F0D" w:rsidP="00F91F0D">
            <w:pPr>
              <w:jc w:val="center"/>
              <w:rPr>
                <w:rFonts w:ascii="Times New Roman" w:hAnsi="Times New Roman" w:cs="Times New Roman"/>
              </w:rPr>
            </w:pPr>
            <w:r>
              <w:rPr>
                <w:rFonts w:ascii="Times New Roman" w:hAnsi="Times New Roman" w:cs="Times New Roman"/>
              </w:rPr>
              <w:t>NE</w:t>
            </w:r>
          </w:p>
        </w:tc>
      </w:tr>
      <w:tr w:rsidR="00C51DA2" w:rsidRPr="00F91F0D" w:rsidTr="000B5C3F">
        <w:trPr>
          <w:trHeight w:val="65"/>
          <w:jc w:val="center"/>
        </w:trPr>
        <w:tc>
          <w:tcPr>
            <w:tcW w:w="534" w:type="dxa"/>
          </w:tcPr>
          <w:p w:rsidR="00C51DA2" w:rsidRPr="00F91F0D" w:rsidRDefault="00C51DA2" w:rsidP="00F91F0D">
            <w:pPr>
              <w:rPr>
                <w:rFonts w:ascii="Times New Roman" w:hAnsi="Times New Roman" w:cs="Times New Roman"/>
              </w:rPr>
            </w:pPr>
            <w:r w:rsidRPr="00F91F0D">
              <w:rPr>
                <w:rFonts w:ascii="Times New Roman" w:hAnsi="Times New Roman" w:cs="Times New Roman"/>
              </w:rPr>
              <w:t>2.</w:t>
            </w:r>
          </w:p>
        </w:tc>
        <w:tc>
          <w:tcPr>
            <w:tcW w:w="7708" w:type="dxa"/>
            <w:vAlign w:val="center"/>
          </w:tcPr>
          <w:p w:rsidR="00F30BD9" w:rsidRDefault="00F30BD9" w:rsidP="00F91F0D">
            <w:pPr>
              <w:jc w:val="both"/>
              <w:rPr>
                <w:rFonts w:ascii="Times New Roman" w:hAnsi="Times New Roman" w:cs="Times New Roman"/>
              </w:rPr>
            </w:pPr>
          </w:p>
          <w:p w:rsidR="00C51DA2" w:rsidRDefault="00C51DA2" w:rsidP="00F91F0D">
            <w:pPr>
              <w:jc w:val="both"/>
              <w:rPr>
                <w:rFonts w:ascii="Times New Roman" w:hAnsi="Times New Roman" w:cs="Times New Roman"/>
              </w:rPr>
            </w:pPr>
            <w:r w:rsidRPr="00F91F0D">
              <w:rPr>
                <w:rFonts w:ascii="Times New Roman" w:hAnsi="Times New Roman" w:cs="Times New Roman"/>
              </w:rPr>
              <w:t>Ukupan broj zaposlenih na neodređeno vreme</w:t>
            </w:r>
          </w:p>
          <w:p w:rsidR="00F30BD9" w:rsidRPr="00F91F0D" w:rsidRDefault="00F30BD9" w:rsidP="00F91F0D">
            <w:pPr>
              <w:jc w:val="both"/>
              <w:rPr>
                <w:rFonts w:ascii="Times New Roman" w:hAnsi="Times New Roman" w:cs="Times New Roman"/>
              </w:rPr>
            </w:pPr>
          </w:p>
        </w:tc>
        <w:tc>
          <w:tcPr>
            <w:tcW w:w="1098" w:type="dxa"/>
            <w:gridSpan w:val="2"/>
            <w:vAlign w:val="center"/>
          </w:tcPr>
          <w:p w:rsidR="00C51DA2" w:rsidRPr="00F91F0D" w:rsidRDefault="00C51DA2" w:rsidP="00F91F0D">
            <w:pPr>
              <w:jc w:val="center"/>
              <w:rPr>
                <w:rFonts w:ascii="Times New Roman" w:hAnsi="Times New Roman" w:cs="Times New Roman"/>
              </w:rPr>
            </w:pP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Saglasnost nadležne komisije za zasnivanje radnog odnosa sa novim licima radi popunjavanja slobodnih, odnosno upražnjenih radnih mesta kod korisnika javnih sredstava, u smislu člana 27e stav 35. Zakona o budžetskom sistemu, ukoliko takva lica postoje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Ukupan broj zaposlenih na određeno vreme zbog povećanog obima posla, lica angažovanih po osnovu ugovora o delu, ugovora o privremenim i povremenim poslovima, preko omladinske i studentske zadruge i lica angažovanih po drugim osnovama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Saglasnost nadležne komisije, ukoliko je ukupan broj zaposlenih iz prethodnog stava veći od 10% od ukupnog broja zaposlenih kod korisnika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Korisnik budžetskih sredstava doneo je neophodne interne opšte akte a u vezi prava, obaveza i odgovornosti iz radnog odnosa (pravilnik o radu, pojedinačni kolektivni ugovor)</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je odgovor iz prethodnog pitanja potvrdan, odgovorite da li su navedeni akti usklađeni sa važećim propisima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Radno-pravni akti zaposlenih sadrže sve propisane elemente, i u skladu su sa važećim propisima koji regulišu navedenu oblast</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9.</w:t>
            </w:r>
          </w:p>
        </w:tc>
        <w:tc>
          <w:tcPr>
            <w:tcW w:w="7708" w:type="dxa"/>
            <w:vAlign w:val="center"/>
          </w:tcPr>
          <w:p w:rsidR="00F91F0D" w:rsidRPr="00F91F0D" w:rsidRDefault="00F91F0D" w:rsidP="00F91F0D">
            <w:pPr>
              <w:jc w:val="both"/>
              <w:rPr>
                <w:rFonts w:ascii="Times New Roman" w:hAnsi="Times New Roman" w:cs="Times New Roman"/>
              </w:rPr>
            </w:pPr>
            <w:r w:rsidRPr="00F91F0D">
              <w:rPr>
                <w:rFonts w:ascii="Times New Roman" w:hAnsi="Times New Roman" w:cs="Times New Roman"/>
              </w:rPr>
              <w:t>Za sve poslove za koje postoje ugovori o radu (rešenja) postoji sistematizovano radno mesto</w:t>
            </w: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Zarade, naknade zarada i druga primanja se obračunavaju na način predviđen važećim zakonskim i podzakonskim aktima</w:t>
            </w:r>
          </w:p>
          <w:p w:rsidR="00F30BD9" w:rsidRDefault="00F30BD9" w:rsidP="00F91F0D">
            <w:pPr>
              <w:jc w:val="both"/>
              <w:rPr>
                <w:rFonts w:ascii="Times New Roman" w:hAnsi="Times New Roman" w:cs="Times New Roman"/>
              </w:rPr>
            </w:pPr>
          </w:p>
          <w:p w:rsidR="00F30BD9" w:rsidRDefault="00F30BD9" w:rsidP="00F91F0D">
            <w:pPr>
              <w:jc w:val="both"/>
              <w:rPr>
                <w:rFonts w:ascii="Times New Roman" w:hAnsi="Times New Roman" w:cs="Times New Roman"/>
              </w:rPr>
            </w:pP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7A0287" w:rsidRPr="00F91F0D" w:rsidTr="000B5C3F">
        <w:trPr>
          <w:trHeight w:val="65"/>
          <w:jc w:val="center"/>
        </w:trPr>
        <w:tc>
          <w:tcPr>
            <w:tcW w:w="9340" w:type="dxa"/>
            <w:gridSpan w:val="4"/>
            <w:shd w:val="clear" w:color="auto" w:fill="BFBFBF" w:themeFill="background1" w:themeFillShade="BF"/>
            <w:vAlign w:val="center"/>
          </w:tcPr>
          <w:p w:rsidR="007A0287" w:rsidRPr="00F91F0D" w:rsidRDefault="007A0287" w:rsidP="007A0287">
            <w:pPr>
              <w:rPr>
                <w:rFonts w:ascii="Times New Roman" w:hAnsi="Times New Roman" w:cs="Times New Roman"/>
              </w:rPr>
            </w:pPr>
            <w:r w:rsidRPr="00F91F0D">
              <w:rPr>
                <w:rFonts w:ascii="Times New Roman" w:hAnsi="Times New Roman" w:cs="Times New Roman"/>
              </w:rPr>
              <w:t xml:space="preserve">II. BUDZETSKI SISTEM </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Finansijski plan usvojen na način i u rokovima propisanim zakonom i smernicama koje se odnose na budžet lokalne vlasti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Finansijski plan usklađen je sa aproprijacijama u budžetu i izmenama i dopunama u toku budžetske godine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 internet stranici korisnika, ukoliko je ima, objavljen je finansijski plan za narednu godinu, kao i završni račun i finansijski izveštaji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14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je finansijskim planom korisnika predviđeno da se određeni rashod i izdatak izvršava i iz sredstava budžeta i iz drugih prihoda, izmirenje tog rashoda i izdatka prvo se vrši iz prihoda iz tih drugih izvora</w:t>
            </w:r>
          </w:p>
          <w:p w:rsidR="00F30BD9" w:rsidRPr="00826ACC"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Plaćanja određenog rashoda vrše se do visine rashoda i izdatka koje odredi lokalni organ uprave nadležan za finansije (obaveštenjem o dodeli kvota) a u skladu sa finansijskim planom</w:t>
            </w:r>
          </w:p>
          <w:p w:rsidR="00F30BD9" w:rsidRPr="00826ACC"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Preuzete obaveze indirektnog korisnika budžetskih sredstava odgovaraju aproprijaciji koja je odobrena za tu namenu u toj budžetskoj godini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Postoje preuzete obaveze po ugovoru koje se odnose na kapitalne izdatke i zahtevaju plaćanje u više godina u skladu sa predviđenim sredstvima iz pregleda planiranih kapitalnih izdataka budžetskih korisnika za tekuću i naredne dve budžetske godine u opštem delu budžeta za tekuću godinu</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je odgovor na prethodno pitanje potvrdan, odgovorite da li je pre pokretanja postupka javne nabavke za preuzimanje obaveza po ugovoru za kapitalne projekte, pribavljena saglasnost nadležnog organa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19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Postoje preuzete obaveze po ugovoru koji zbog prirode rashoda (u okviru klase 42 - Korišćenje roba i usluga), zahteva plaćanje u više godina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je odgovor na prethodno pitanje potvrdan, odgovorite da li je pre pokretanja postupka javne nabavke za preuzimanje obaveza po ugovoru koji zbog prirode rashoda zahteva plaćanje u više godina, pribavljena saglasnost nadležnog organa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Obaveze su preuzete na osnovu pisanog ugovora ili drugog pravnog akta koji je sačinjen i potpisan, u skladu sa pozitivnim zakonskim propisima, pre izvršenja samog posla i plaćanja obaveze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Korisnik budžetskih sredstava je obavestio trezor lokalne vlasti o nameri preuzimanja obaveza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Nakon potpisivanja ugovora ili drugog pravnog akta kojim se preuzima obaveza, korisnik budžetskih sredstava je obavestio trezor lokalne vlasti o preuzimanju obaveze i predviđenim uslovima i rokovima plaćanja kao i o njihovim eventualnim izmenama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78"/>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24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Ugovore koje je korisnik budžetskih sredstava zaključio o nabavci dobara, finansijske imovine, pružanju usluga ili izvođenju građevinskih radova, zaključeni su u skladu sa propisima koji regulišu javne nabavke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Rashodi i izdaci korisnika budžetskih sredstava su izvršeni uz postojanje odgovarajuće računovodstvene dokumentacije i uz postojanje odgovarajućeg pravnog osnova u skladu sa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Do isteka fiskalne godine, korisnik budžetskih sredstava vratio je neutrošena, a preneta sredstva predviđena aktom o budžetu, u skladu sa podzakonskim aktom kojim je regulisana navedena oblast</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D84B99" w:rsidRPr="00F91F0D" w:rsidTr="000B5C3F">
        <w:trPr>
          <w:trHeight w:val="65"/>
          <w:jc w:val="center"/>
        </w:trPr>
        <w:tc>
          <w:tcPr>
            <w:tcW w:w="9340" w:type="dxa"/>
            <w:gridSpan w:val="4"/>
            <w:shd w:val="clear" w:color="auto" w:fill="BFBFBF" w:themeFill="background1" w:themeFillShade="BF"/>
            <w:vAlign w:val="center"/>
          </w:tcPr>
          <w:p w:rsidR="00D84B99" w:rsidRPr="00F91F0D" w:rsidRDefault="00D84B99" w:rsidP="00D84B99">
            <w:pPr>
              <w:rPr>
                <w:rFonts w:ascii="Times New Roman" w:hAnsi="Times New Roman" w:cs="Times New Roman"/>
              </w:rPr>
            </w:pPr>
            <w:r w:rsidRPr="00F91F0D">
              <w:rPr>
                <w:rFonts w:ascii="Times New Roman" w:hAnsi="Times New Roman" w:cs="Times New Roman"/>
              </w:rPr>
              <w:t xml:space="preserve">III. BUDZETSKO RAČUNOVODSTVO </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Korisnik budžetskih sredstava ima usvojen interni opšti akt - pravilnik, kojim uređuje organizaciju računovodstvenog sistema; interne računovodstvene kontrolne postupke; lica koja su odgovorna za zakonitost, ispravnost i sastavljanje isprava o poslovnoj promeni i drugom događaju, kretanje računovodstvenih isprava kao i rokove za njihovo dostavljanje.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Transakcije i ostali događaji evidentiraju se u trenutku kada se gotovinska sredstva prime, odnosno isplate a u skladu sa gotovinskom osnovom kao osnovom za vođenje budžetskog računovodstva</w:t>
            </w:r>
          </w:p>
          <w:p w:rsidR="00F30BD9" w:rsidRDefault="00F30BD9" w:rsidP="00F91F0D">
            <w:pPr>
              <w:jc w:val="both"/>
              <w:rPr>
                <w:rFonts w:ascii="Times New Roman" w:hAnsi="Times New Roman" w:cs="Times New Roman"/>
              </w:rPr>
            </w:pP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29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Funkcije naredbodavca i računopolagača se ne poklapaju</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 xml:space="preserve">Indirektni korisnik sastavlja godišnji finansijski izveštaj na osnovu evidencija o primljenim sredstvima i izvršenim plaćanjima koja su usaglašena sa trezorom, kao i na osnovu drugih analitičkih evidencija koje </w:t>
            </w:r>
            <w:r w:rsidR="003C6CF1">
              <w:rPr>
                <w:rFonts w:ascii="Times New Roman" w:hAnsi="Times New Roman" w:cs="Times New Roman"/>
              </w:rPr>
              <w:t>vodi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Indirektni korisnik budžetskih sredstava sastavlja tromesečno periodične izveštaje o izvršenju budžeta i dostavlja direktnom korisniku u roku od deset dana po isteku tromesečja, za potrebe planiranja i kontrole izvršenja budžeta.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Računovodstvene isprave sadrže sve podatke potrebne za knjiženje u poslovnim knjigama tako da se iz isprave o poslovnoj promeni može saznati osnov nastale promene.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898"/>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Knjiženja u poslovnim knjigama vrše se na osnovu validnih računovodstvenih dokumenata o nastaloj poslovnoj promeni i drugom događaju</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lastRenderedPageBreak/>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34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Računovodstvene isprave su potpisane od strane lica koje je ispravu sastavilo, lica koje je ispravu kontrolisalo i lica odgovornog za nastalu poslovnu promenu i drugi događaj</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Računovodstvene isprave sastavljaju se u potrebnom broju primeraka, na mestu i u vreme nastanka poslovnog događaja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Lica odgovorna za sastavljanje i kontrolu računovodstvenih isprava svojim potpisom na ispravi garantuju da je istinita i da verno prikazuje poslovnu promenu.</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Računovodstvene isprave knjiže se istog dana, a najkasnije narednog dana od dana dobijanja računovodstvene isprave.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 xml:space="preserve">Poslovne knjige vode se po sistemu dvojnog knjigovodstva, hronološki, uredno i ažurno u skladu sa strukturom konta koja je propisana Pravilnikom o standardnom klasifikacionom okviru i kontnom planu za budžetski </w:t>
            </w:r>
            <w:r w:rsidR="0068561F">
              <w:rPr>
                <w:rFonts w:ascii="Times New Roman" w:hAnsi="Times New Roman" w:cs="Times New Roman"/>
              </w:rPr>
              <w:t>si</w:t>
            </w:r>
            <w:r w:rsidR="00F30BD9">
              <w:rPr>
                <w:rFonts w:ascii="Times New Roman" w:hAnsi="Times New Roman" w:cs="Times New Roman"/>
              </w:rPr>
              <w:t>stem</w:t>
            </w:r>
          </w:p>
          <w:p w:rsidR="00F30BD9" w:rsidRDefault="00F30BD9" w:rsidP="00F91F0D">
            <w:pPr>
              <w:jc w:val="both"/>
              <w:rPr>
                <w:rFonts w:ascii="Times New Roman" w:hAnsi="Times New Roman" w:cs="Times New Roman"/>
              </w:rPr>
            </w:pP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39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Usklađivanje poslovnih knjiga, popis imovine i obaveza i usaglašavanje imovine i obaveza izvršeno je u propisanim rokovima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Poslovne knjige zaključuju se posle sprovedenih evidencija svih ekonomskih transakcija i obračuna na kraju budžetske godine a u propisanim rokovima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Način i rokovi vršenja popisa i usklađivanja knjigovodstvenog stanja sa stvarnim, izvršeni su u skladu sa pozitivnom zakonskim propisima koji regulišu navedenu oblast</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Nepokretnosti, oprema, nematerijalna i ostala imovina u poslovnim knjigama evidentirani su prema nabavnoj vrednosti umanjenoj za ispravku vrednosti po osnovu amortizacije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Finansijski izveštaji sastavljaju se na osnovu evidencija o primljenim sredstvima i izvršenim plaćanjima koja su usaglašena sa glavnom knjigom trezora, kao i na osnovu drugih analitičkih evidencija koje se vode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95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44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Poslovne knjige, finansijski izveštaji i računovodstvene isprave čuvaju na način i u propisanim rokovima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57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Za vođenje poslovnih knjiga koristi se softver koji obezbeđuje očuvanje podataka o svim proknjiženim transakcijama, funkcionisanje sistema internih računovodstvenih kontrola i koji onemogućava brisanje proknjiženih poslovnih promena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D84B99" w:rsidRPr="00F91F0D" w:rsidTr="000B5C3F">
        <w:trPr>
          <w:trHeight w:val="114"/>
          <w:jc w:val="center"/>
        </w:trPr>
        <w:tc>
          <w:tcPr>
            <w:tcW w:w="9340" w:type="dxa"/>
            <w:gridSpan w:val="4"/>
            <w:shd w:val="clear" w:color="auto" w:fill="BFBFBF" w:themeFill="background1" w:themeFillShade="BF"/>
            <w:vAlign w:val="center"/>
          </w:tcPr>
          <w:p w:rsidR="00D84B99" w:rsidRPr="00F91F0D" w:rsidRDefault="00D84B99" w:rsidP="00D84B99">
            <w:pPr>
              <w:rPr>
                <w:rFonts w:ascii="Times New Roman" w:hAnsi="Times New Roman" w:cs="Times New Roman"/>
              </w:rPr>
            </w:pPr>
            <w:r w:rsidRPr="00F91F0D">
              <w:rPr>
                <w:rFonts w:ascii="Times New Roman" w:hAnsi="Times New Roman" w:cs="Times New Roman"/>
              </w:rPr>
              <w:t>IV. JAVNE NABAVKE</w:t>
            </w:r>
          </w:p>
        </w:tc>
      </w:tr>
      <w:tr w:rsidR="00F91F0D" w:rsidRPr="00F91F0D" w:rsidTr="000B5C3F">
        <w:trPr>
          <w:trHeight w:val="46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Interni akt kojim se bliže uređuju postupci javnih nabavki unutar naručioca je donet i objavljen u skladu sa pozitivnim zakonskim propisima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Svojim aktom kojim se uređuje sistematizacija radnih mesta, naručilac je odredio radno mesto u okviru kojeg će se obavljati poslovi javnih nabavki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48</w:t>
            </w:r>
          </w:p>
        </w:tc>
        <w:tc>
          <w:tcPr>
            <w:tcW w:w="7708" w:type="dxa"/>
            <w:vAlign w:val="center"/>
          </w:tcPr>
          <w:p w:rsidR="00F30BD9" w:rsidRDefault="00F30BD9" w:rsidP="00F91F0D">
            <w:pPr>
              <w:jc w:val="both"/>
              <w:rPr>
                <w:rFonts w:ascii="Times New Roman" w:hAnsi="Times New Roman" w:cs="Times New Roman"/>
              </w:rPr>
            </w:pPr>
          </w:p>
          <w:p w:rsidR="00F30BD9" w:rsidRPr="00F91F0D" w:rsidRDefault="00F91F0D" w:rsidP="00F91F0D">
            <w:pPr>
              <w:jc w:val="both"/>
              <w:rPr>
                <w:rFonts w:ascii="Times New Roman" w:hAnsi="Times New Roman" w:cs="Times New Roman"/>
              </w:rPr>
            </w:pPr>
            <w:r w:rsidRPr="00F91F0D">
              <w:rPr>
                <w:rFonts w:ascii="Times New Roman" w:hAnsi="Times New Roman" w:cs="Times New Roman"/>
              </w:rPr>
              <w:t>Ukoliko je ukupna procenjena vrednost javnih nabavki na godišnjem nivou veća od 25.000.000,00 dinara da li naručilac ima najmanje jednog službenika za javne nabavke sa položenim stručnim ispitom</w:t>
            </w: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6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49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Komunikacija u postupcima javnih nabavki i u vezi sa obavljanjem poslova javnih nabavki obavljena je u skladu sa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color w:val="FF0000"/>
              </w:rPr>
            </w:pPr>
            <w:r w:rsidRPr="00F91F0D">
              <w:rPr>
                <w:rFonts w:ascii="Times New Roman" w:hAnsi="Times New Roman" w:cs="Times New Roman"/>
                <w:color w:val="FF0000"/>
              </w:rPr>
              <w:t>50</w:t>
            </w:r>
          </w:p>
        </w:tc>
        <w:tc>
          <w:tcPr>
            <w:tcW w:w="7708" w:type="dxa"/>
            <w:vAlign w:val="center"/>
          </w:tcPr>
          <w:p w:rsidR="00F30BD9" w:rsidRDefault="00F30BD9" w:rsidP="00F91F0D">
            <w:pPr>
              <w:jc w:val="both"/>
              <w:rPr>
                <w:rFonts w:ascii="Times New Roman" w:hAnsi="Times New Roman" w:cs="Times New Roman"/>
                <w:color w:val="FF0000"/>
              </w:rPr>
            </w:pPr>
          </w:p>
          <w:p w:rsidR="00F91F0D" w:rsidRDefault="00F91F0D" w:rsidP="00F91F0D">
            <w:pPr>
              <w:jc w:val="both"/>
              <w:rPr>
                <w:rFonts w:ascii="Times New Roman" w:hAnsi="Times New Roman" w:cs="Times New Roman"/>
                <w:color w:val="FF0000"/>
              </w:rPr>
            </w:pPr>
            <w:r w:rsidRPr="00F91F0D">
              <w:rPr>
                <w:rFonts w:ascii="Times New Roman" w:hAnsi="Times New Roman" w:cs="Times New Roman"/>
                <w:color w:val="FF0000"/>
              </w:rPr>
              <w:t>Ukupna procenjena vrednost javnih nabavki na godišnjem nivou je veća od milijardu dinara</w:t>
            </w:r>
          </w:p>
          <w:p w:rsidR="00F30BD9" w:rsidRPr="00F91F0D" w:rsidRDefault="00F30BD9" w:rsidP="00F91F0D">
            <w:pPr>
              <w:jc w:val="both"/>
              <w:rPr>
                <w:rFonts w:ascii="Times New Roman" w:hAnsi="Times New Roman" w:cs="Times New Roman"/>
                <w:color w:val="FF0000"/>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570"/>
          <w:jc w:val="center"/>
        </w:trPr>
        <w:tc>
          <w:tcPr>
            <w:tcW w:w="534" w:type="dxa"/>
          </w:tcPr>
          <w:p w:rsidR="00F91F0D" w:rsidRPr="00F91F0D" w:rsidRDefault="00F91F0D" w:rsidP="00F91F0D">
            <w:pPr>
              <w:rPr>
                <w:rFonts w:ascii="Times New Roman" w:hAnsi="Times New Roman" w:cs="Times New Roman"/>
                <w:color w:val="FF0000"/>
              </w:rPr>
            </w:pPr>
            <w:r w:rsidRPr="00F91F0D">
              <w:rPr>
                <w:rFonts w:ascii="Times New Roman" w:hAnsi="Times New Roman" w:cs="Times New Roman"/>
                <w:color w:val="FF0000"/>
              </w:rPr>
              <w:t>51</w:t>
            </w:r>
          </w:p>
        </w:tc>
        <w:tc>
          <w:tcPr>
            <w:tcW w:w="7708" w:type="dxa"/>
            <w:vAlign w:val="center"/>
          </w:tcPr>
          <w:p w:rsidR="00F30BD9" w:rsidRDefault="00F30BD9" w:rsidP="00F91F0D">
            <w:pPr>
              <w:jc w:val="both"/>
              <w:rPr>
                <w:rFonts w:ascii="Times New Roman" w:hAnsi="Times New Roman" w:cs="Times New Roman"/>
                <w:color w:val="FF0000"/>
              </w:rPr>
            </w:pPr>
          </w:p>
          <w:p w:rsidR="00F91F0D" w:rsidRDefault="00F91F0D" w:rsidP="00F91F0D">
            <w:pPr>
              <w:jc w:val="both"/>
              <w:rPr>
                <w:rFonts w:ascii="Times New Roman" w:hAnsi="Times New Roman" w:cs="Times New Roman"/>
                <w:color w:val="FF0000"/>
              </w:rPr>
            </w:pPr>
            <w:r w:rsidRPr="00F91F0D">
              <w:rPr>
                <w:rFonts w:ascii="Times New Roman" w:hAnsi="Times New Roman" w:cs="Times New Roman"/>
                <w:color w:val="FF0000"/>
              </w:rPr>
              <w:t>Ukoliko je odgovor na prethodno pitanje potvrdan odgovorite da li je donet Interni plan za sprečavanje korupcije u javnim nabavkama, donet i objavljen u skladu sa pozitivnim zakonskim propisima</w:t>
            </w:r>
          </w:p>
          <w:p w:rsidR="00F30BD9" w:rsidRPr="00F91F0D" w:rsidRDefault="00F30BD9" w:rsidP="00F91F0D">
            <w:pPr>
              <w:jc w:val="both"/>
              <w:rPr>
                <w:rFonts w:ascii="Times New Roman" w:hAnsi="Times New Roman" w:cs="Times New Roman"/>
                <w:color w:val="FF0000"/>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6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 postupcima javnih nabavki obezbeđuje se zaštita podataka, dokumentacija i evidentiranje postupka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342"/>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Naručilac je doneo godišnji Plan javnih nabavki</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Plan javnih nabavki donet je i objavljen na način, u formi i sadržini propisanim pozitivnim zakonskim propisima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84"/>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 xml:space="preserve">Pre pokretanja postupka javne nabavke ispunjeni su uslovi za pokretanje propisani zakonom a obaveze koje su preuzete ugovorom o javnim nabavkama ugovarane su u skladu sa propisima kojima se uređuje budžetski sistem, odnosno raspolaganje </w:t>
            </w:r>
            <w:r w:rsidRPr="00F91F0D">
              <w:rPr>
                <w:rFonts w:ascii="Times New Roman" w:hAnsi="Times New Roman" w:cs="Times New Roman"/>
              </w:rPr>
              <w:lastRenderedPageBreak/>
              <w:t>finansijskim sredstvima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lastRenderedPageBreak/>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232"/>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56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Odluka o pokretanju postupka je doneta i sadrži sve elemente propisane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342"/>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Rešenje o obrazovanju komisije je doneto i sadrži sve elemente propisane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34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Članovi komisije potpisali su izjavu o odsustvu sukoba interesa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57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59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Sve vrste oglasa o javnoj nabavci imaju sadržinu i objavljeni su na način propisan Zakonom</w:t>
            </w:r>
          </w:p>
          <w:p w:rsidR="00F30BD9" w:rsidRDefault="00F30BD9" w:rsidP="00F91F0D">
            <w:pPr>
              <w:jc w:val="both"/>
              <w:rPr>
                <w:rFonts w:ascii="Times New Roman" w:hAnsi="Times New Roman" w:cs="Times New Roman"/>
              </w:rPr>
            </w:pP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57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Konkursna dokumentacija kao i njene eventualne izmene i dopune, sadrži sve elemente, pripremljena je i objavljena (dostavljena) na način propisan pozitivnim zakonskim propisima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34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Procenjena vrednost javne nabavke određena je na način propisan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 xml:space="preserve">Poštovane su odredbe Zakona o određivanju i korišćenju tehničke specifikacije i </w:t>
            </w:r>
            <w:r w:rsidR="00F30BD9">
              <w:rPr>
                <w:rFonts w:ascii="Times New Roman" w:hAnsi="Times New Roman" w:cs="Times New Roman"/>
              </w:rPr>
              <w:t>standard</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Prijem i otvaranje ponuda sprovedeni su u skladu sa Zakonom a Zapisnik o otvaranju ponuda/prijava vođen je na način propisan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57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64</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Ponuđači su dokazivali da ispunjavaju obavezne i dodatne uslove, uslove iz konkursne dokumentacije na način propisan Zakonom i konkursnom dokumentacijom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6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65</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Pisani Izveštaj o stručnoj oceni ponuda/prijava sačinjen je na način propisan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56"/>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66</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 zavisnosti od ispunjenosti uslova za dodelu ugovora/odluke o zaključenju okvirnog sporazuma ili priznavanju kvalifikacije, naručilac je doneo:</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228"/>
          <w:jc w:val="center"/>
        </w:trPr>
        <w:tc>
          <w:tcPr>
            <w:tcW w:w="534" w:type="dxa"/>
          </w:tcPr>
          <w:p w:rsidR="00F91F0D" w:rsidRPr="00F91F0D" w:rsidRDefault="00F91F0D" w:rsidP="00F91F0D">
            <w:pPr>
              <w:rPr>
                <w:rFonts w:ascii="Times New Roman" w:hAnsi="Times New Roman" w:cs="Times New Roman"/>
              </w:rPr>
            </w:pPr>
          </w:p>
        </w:tc>
        <w:tc>
          <w:tcPr>
            <w:tcW w:w="7708" w:type="dxa"/>
            <w:vAlign w:val="center"/>
          </w:tcPr>
          <w:p w:rsidR="00F91F0D" w:rsidRPr="00F91F0D" w:rsidRDefault="00F91F0D" w:rsidP="00F91F0D">
            <w:pPr>
              <w:jc w:val="both"/>
              <w:rPr>
                <w:rFonts w:ascii="Times New Roman" w:hAnsi="Times New Roman" w:cs="Times New Roman"/>
              </w:rPr>
            </w:pPr>
            <w:r w:rsidRPr="00F91F0D">
              <w:rPr>
                <w:rFonts w:ascii="Times New Roman" w:hAnsi="Times New Roman" w:cs="Times New Roman"/>
              </w:rPr>
              <w:t>- Odluku o dodeli ugovora, sačinjenu i objavljenu na način i u rokovima propisanim Zakonom</w:t>
            </w: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228"/>
          <w:jc w:val="center"/>
        </w:trPr>
        <w:tc>
          <w:tcPr>
            <w:tcW w:w="534" w:type="dxa"/>
          </w:tcPr>
          <w:p w:rsidR="00F91F0D" w:rsidRPr="00F91F0D" w:rsidRDefault="00F91F0D" w:rsidP="00F91F0D">
            <w:pPr>
              <w:rPr>
                <w:rFonts w:ascii="Times New Roman" w:hAnsi="Times New Roman" w:cs="Times New Roman"/>
              </w:rPr>
            </w:pPr>
          </w:p>
        </w:tc>
        <w:tc>
          <w:tcPr>
            <w:tcW w:w="7708" w:type="dxa"/>
            <w:vAlign w:val="center"/>
          </w:tcPr>
          <w:p w:rsidR="00F91F0D" w:rsidRPr="00F91F0D" w:rsidRDefault="00F91F0D" w:rsidP="00F91F0D">
            <w:pPr>
              <w:jc w:val="both"/>
              <w:rPr>
                <w:rFonts w:ascii="Times New Roman" w:hAnsi="Times New Roman" w:cs="Times New Roman"/>
              </w:rPr>
            </w:pPr>
            <w:r w:rsidRPr="00F91F0D">
              <w:rPr>
                <w:rFonts w:ascii="Times New Roman" w:hAnsi="Times New Roman" w:cs="Times New Roman"/>
              </w:rPr>
              <w:t>- Odluku o obustavi postupka, sačinjenu i objavljenu na način i u rokovima propisanim Zakonom</w:t>
            </w: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460"/>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lastRenderedPageBreak/>
              <w:t>67</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Ponuđačima je omogućen uvid u dokumentaciju o sprovedenom postupku</w:t>
            </w:r>
            <w:r w:rsidR="00F54F14">
              <w:rPr>
                <w:rFonts w:ascii="Times New Roman" w:hAnsi="Times New Roman" w:cs="Times New Roman"/>
              </w:rPr>
              <w:t xml:space="preserve"> </w:t>
            </w:r>
            <w:r w:rsidRPr="00F91F0D">
              <w:rPr>
                <w:rFonts w:ascii="Times New Roman" w:hAnsi="Times New Roman" w:cs="Times New Roman"/>
              </w:rPr>
              <w:t>javne nabavke</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114"/>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68</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Ugovor/okvirni sporazum zaključen je na način i u roku propisanom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69</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je ugovor/sporazum zaključen, obaveštenje o zaključenom ugovoru o javnoj nabavci ili okvirnom sporazumu objavljeno je na način i u roku propisanom Zakonom</w:t>
            </w:r>
          </w:p>
          <w:p w:rsidR="00F30BD9" w:rsidRDefault="00F30BD9" w:rsidP="00F91F0D">
            <w:pPr>
              <w:jc w:val="both"/>
              <w:rPr>
                <w:rFonts w:ascii="Times New Roman" w:hAnsi="Times New Roman" w:cs="Times New Roman"/>
              </w:rPr>
            </w:pP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70</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Ukoliko postoji, izmena ugovora nakon zaključenja ugovora izvršena je i objavljena na način i u rokovima propisanim Zakonom</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71</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Naručilac prikuplja i evidentira podatke o postupcima javnih nabavki i zaključenim ugovorima o javnim nabavkama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72</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Naručilac je postupke javnih nabavki male vrednosti kao i nabavke čija procenjena vrednost nije veća od 500.000 dinara, sprovodio uz poštovanje svih odredbi Zakona, posebno imajući u vidu odredbe čl. 39 Zakona o javnim nabavkama</w:t>
            </w:r>
          </w:p>
          <w:p w:rsidR="00F30BD9" w:rsidRPr="00F91F0D" w:rsidRDefault="00F30BD9"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r w:rsidR="00F91F0D" w:rsidRPr="00F91F0D" w:rsidTr="000B5C3F">
        <w:trPr>
          <w:trHeight w:val="65"/>
          <w:jc w:val="center"/>
        </w:trPr>
        <w:tc>
          <w:tcPr>
            <w:tcW w:w="534" w:type="dxa"/>
          </w:tcPr>
          <w:p w:rsidR="00F91F0D" w:rsidRPr="00F91F0D" w:rsidRDefault="00F91F0D" w:rsidP="00F91F0D">
            <w:pPr>
              <w:rPr>
                <w:rFonts w:ascii="Times New Roman" w:hAnsi="Times New Roman" w:cs="Times New Roman"/>
              </w:rPr>
            </w:pPr>
            <w:r w:rsidRPr="00F91F0D">
              <w:rPr>
                <w:rFonts w:ascii="Times New Roman" w:hAnsi="Times New Roman" w:cs="Times New Roman"/>
              </w:rPr>
              <w:t>73</w:t>
            </w:r>
          </w:p>
        </w:tc>
        <w:tc>
          <w:tcPr>
            <w:tcW w:w="7708" w:type="dxa"/>
            <w:vAlign w:val="center"/>
          </w:tcPr>
          <w:p w:rsidR="00F30BD9" w:rsidRDefault="00F30BD9" w:rsidP="00F91F0D">
            <w:pPr>
              <w:jc w:val="both"/>
              <w:rPr>
                <w:rFonts w:ascii="Times New Roman" w:hAnsi="Times New Roman" w:cs="Times New Roman"/>
              </w:rPr>
            </w:pPr>
          </w:p>
          <w:p w:rsidR="00F91F0D" w:rsidRDefault="00F91F0D" w:rsidP="00F91F0D">
            <w:pPr>
              <w:jc w:val="both"/>
              <w:rPr>
                <w:rFonts w:ascii="Times New Roman" w:hAnsi="Times New Roman" w:cs="Times New Roman"/>
              </w:rPr>
            </w:pPr>
            <w:r w:rsidRPr="00F91F0D">
              <w:rPr>
                <w:rFonts w:ascii="Times New Roman" w:hAnsi="Times New Roman" w:cs="Times New Roman"/>
              </w:rPr>
              <w:t>Naručilac je postupao po nalozima i odlukama Republičke komisije za zaštitu prava u postupcima javnih nabavki</w:t>
            </w:r>
          </w:p>
          <w:p w:rsidR="00F91F0D" w:rsidRPr="00F91F0D" w:rsidRDefault="00F91F0D" w:rsidP="00F91F0D">
            <w:pPr>
              <w:jc w:val="both"/>
              <w:rPr>
                <w:rFonts w:ascii="Times New Roman" w:hAnsi="Times New Roman" w:cs="Times New Roman"/>
              </w:rPr>
            </w:pPr>
          </w:p>
        </w:tc>
        <w:tc>
          <w:tcPr>
            <w:tcW w:w="562"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DA</w:t>
            </w:r>
          </w:p>
        </w:tc>
        <w:tc>
          <w:tcPr>
            <w:tcW w:w="535" w:type="dxa"/>
            <w:vAlign w:val="center"/>
          </w:tcPr>
          <w:p w:rsidR="00F91F0D" w:rsidRPr="00F91F0D" w:rsidRDefault="00F91F0D" w:rsidP="00F91F0D">
            <w:pPr>
              <w:jc w:val="center"/>
              <w:rPr>
                <w:rFonts w:ascii="Times New Roman" w:hAnsi="Times New Roman" w:cs="Times New Roman"/>
              </w:rPr>
            </w:pPr>
            <w:r>
              <w:rPr>
                <w:rFonts w:ascii="Times New Roman" w:hAnsi="Times New Roman" w:cs="Times New Roman"/>
              </w:rPr>
              <w:t>NE</w:t>
            </w:r>
          </w:p>
        </w:tc>
      </w:tr>
    </w:tbl>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8E33F4" w:rsidRDefault="008E33F4" w:rsidP="00D84B99">
      <w:pPr>
        <w:rPr>
          <w:rFonts w:ascii="Times New Roman" w:hAnsi="Times New Roman" w:cs="Times New Roman"/>
        </w:rPr>
      </w:pPr>
    </w:p>
    <w:p w:rsidR="00D84B99" w:rsidRDefault="00D84B99" w:rsidP="00D84B99">
      <w:pPr>
        <w:rPr>
          <w:rFonts w:ascii="Times New Roman" w:hAnsi="Times New Roman" w:cs="Times New Roman"/>
        </w:rPr>
      </w:pPr>
      <w:r w:rsidRPr="00F91F0D">
        <w:rPr>
          <w:rFonts w:ascii="Times New Roman" w:hAnsi="Times New Roman" w:cs="Times New Roman"/>
        </w:rPr>
        <w:t>TABELA SA DEFINISANIM RASPONIMA POENA</w:t>
      </w:r>
    </w:p>
    <w:p w:rsidR="005D7B5D" w:rsidRPr="00F91F0D" w:rsidRDefault="005D7B5D" w:rsidP="00D84B99">
      <w:pPr>
        <w:rPr>
          <w:rFonts w:ascii="Times New Roman" w:hAnsi="Times New Roman" w:cs="Times New Roman"/>
        </w:rPr>
      </w:pPr>
    </w:p>
    <w:p w:rsidR="005D7B5D" w:rsidRDefault="00D84B99" w:rsidP="00D84B99">
      <w:pPr>
        <w:rPr>
          <w:rFonts w:ascii="Times New Roman" w:hAnsi="Times New Roman" w:cs="Times New Roman"/>
        </w:rPr>
      </w:pPr>
      <w:r w:rsidRPr="00F91F0D">
        <w:rPr>
          <w:rFonts w:ascii="Times New Roman" w:hAnsi="Times New Roman" w:cs="Times New Roman"/>
        </w:rPr>
        <w:t>Cela kontrolna lista - ukupan broj bodova za odgovor ''da'': 73 (100%)</w:t>
      </w:r>
    </w:p>
    <w:p w:rsidR="00D84B99" w:rsidRPr="00F91F0D" w:rsidRDefault="00D84B99" w:rsidP="00D84B99">
      <w:pPr>
        <w:rPr>
          <w:rFonts w:ascii="Times New Roman" w:hAnsi="Times New Roman" w:cs="Times New Roman"/>
        </w:rPr>
      </w:pPr>
      <w:r w:rsidRPr="00F91F0D">
        <w:rPr>
          <w:rFonts w:ascii="Times New Roman" w:hAnsi="Times New Roman" w:cs="Times New Roman"/>
        </w:rPr>
        <w:t>Formula za utvrđivanje % = ukupan broj bodova za odgovor "da"/ 73 *100</w:t>
      </w:r>
    </w:p>
    <w:p w:rsidR="005D7B5D" w:rsidRDefault="005D7B5D" w:rsidP="00D84B99">
      <w:pPr>
        <w:rPr>
          <w:rFonts w:ascii="Times New Roman" w:hAnsi="Times New Roman" w:cs="Times New Roman"/>
        </w:rPr>
      </w:pPr>
    </w:p>
    <w:p w:rsidR="00D84B99" w:rsidRPr="00F91F0D" w:rsidRDefault="00D84B99" w:rsidP="005D7B5D">
      <w:pPr>
        <w:jc w:val="both"/>
        <w:rPr>
          <w:rFonts w:ascii="Times New Roman" w:hAnsi="Times New Roman" w:cs="Times New Roman"/>
        </w:rPr>
      </w:pPr>
      <w:r w:rsidRPr="00F91F0D">
        <w:rPr>
          <w:rFonts w:ascii="Times New Roman" w:hAnsi="Times New Roman" w:cs="Times New Roman"/>
        </w:rPr>
        <w:t>NAPOMENA: u svakom konkretnom slučaju se utvrđuje ukupan broj pitanja na koje je dat odgovor sa "da" ili "ne", odnosno isključuju se ona pitanja na koja kontrolisani subjekt, zbog svojih specifičnosti, nije mogao dati odgovor na neko od pitanja!</w:t>
      </w:r>
    </w:p>
    <w:p w:rsidR="005D7B5D" w:rsidRPr="00F91F0D" w:rsidRDefault="00D84B99" w:rsidP="00F30BD9">
      <w:pPr>
        <w:jc w:val="both"/>
        <w:rPr>
          <w:rFonts w:ascii="Times New Roman" w:hAnsi="Times New Roman" w:cs="Times New Roman"/>
        </w:rPr>
      </w:pPr>
      <w:r w:rsidRPr="00F91F0D">
        <w:rPr>
          <w:rFonts w:ascii="Times New Roman" w:hAnsi="Times New Roman" w:cs="Times New Roman"/>
        </w:rPr>
        <w:t>Ova kontrolna lista će se koristiti za sve kategorije indirektnih korisnika budžetskih sredstava</w:t>
      </w:r>
      <w:r w:rsidR="005D7B5D">
        <w:rPr>
          <w:rFonts w:ascii="Times New Roman" w:hAnsi="Times New Roman" w:cs="Times New Roman"/>
        </w:rPr>
        <w:t>.</w:t>
      </w:r>
    </w:p>
    <w:p w:rsidR="00F30BD9" w:rsidRDefault="00F30BD9" w:rsidP="00D84B99">
      <w:pPr>
        <w:rPr>
          <w:rFonts w:ascii="Times New Roman" w:hAnsi="Times New Roman" w:cs="Times New Roman"/>
        </w:rPr>
      </w:pPr>
    </w:p>
    <w:p w:rsidR="00D84B99" w:rsidRDefault="00D84B99" w:rsidP="00D84B99">
      <w:pPr>
        <w:rPr>
          <w:rFonts w:ascii="Times New Roman" w:hAnsi="Times New Roman" w:cs="Times New Roman"/>
        </w:rPr>
      </w:pPr>
      <w:r w:rsidRPr="00F91F0D">
        <w:rPr>
          <w:rFonts w:ascii="Times New Roman" w:hAnsi="Times New Roman" w:cs="Times New Roman"/>
        </w:rPr>
        <w:t>UTVRĐEN BROJ BODOVA U NADZORU ZA ODGOVOR ''DA'':</w:t>
      </w:r>
      <w:r w:rsidRPr="00F91F0D">
        <w:rPr>
          <w:rFonts w:ascii="Times New Roman" w:hAnsi="Times New Roman" w:cs="Times New Roman"/>
        </w:rPr>
        <w:tab/>
      </w:r>
      <w:proofErr w:type="gramStart"/>
      <w:r w:rsidRPr="00F91F0D">
        <w:rPr>
          <w:rFonts w:ascii="Times New Roman" w:hAnsi="Times New Roman" w:cs="Times New Roman"/>
        </w:rPr>
        <w:t>( %</w:t>
      </w:r>
      <w:proofErr w:type="gramEnd"/>
      <w:r w:rsidRPr="00F91F0D">
        <w:rPr>
          <w:rFonts w:ascii="Times New Roman" w:hAnsi="Times New Roman" w:cs="Times New Roman"/>
        </w:rPr>
        <w:t>)</w:t>
      </w:r>
    </w:p>
    <w:p w:rsidR="005D7B5D" w:rsidRPr="00F91F0D" w:rsidRDefault="005D7B5D" w:rsidP="00D84B99">
      <w:pPr>
        <w:rPr>
          <w:rFonts w:ascii="Times New Roman" w:hAnsi="Times New Roman" w:cs="Times New Roman"/>
        </w:rPr>
      </w:pPr>
    </w:p>
    <w:tbl>
      <w:tblPr>
        <w:tblW w:w="0" w:type="auto"/>
        <w:tblInd w:w="2254" w:type="dxa"/>
        <w:tblLayout w:type="fixed"/>
        <w:tblCellMar>
          <w:left w:w="10" w:type="dxa"/>
          <w:right w:w="10" w:type="dxa"/>
        </w:tblCellMar>
        <w:tblLook w:val="0000"/>
      </w:tblPr>
      <w:tblGrid>
        <w:gridCol w:w="768"/>
        <w:gridCol w:w="2045"/>
        <w:gridCol w:w="3173"/>
      </w:tblGrid>
      <w:tr w:rsidR="00D84B99" w:rsidRPr="00F91F0D" w:rsidTr="00D84B99">
        <w:trPr>
          <w:trHeight w:hRule="exact" w:val="288"/>
        </w:trPr>
        <w:tc>
          <w:tcPr>
            <w:tcW w:w="768"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rPr>
                <w:rFonts w:ascii="Times New Roman" w:hAnsi="Times New Roman" w:cs="Times New Roman"/>
                <w:sz w:val="24"/>
                <w:szCs w:val="24"/>
              </w:rPr>
            </w:pPr>
            <w:r w:rsidRPr="00F91F0D">
              <w:rPr>
                <w:rStyle w:val="Bodytext29pt"/>
                <w:rFonts w:ascii="Times New Roman" w:hAnsi="Times New Roman" w:cs="Times New Roman"/>
                <w:sz w:val="24"/>
                <w:szCs w:val="24"/>
              </w:rPr>
              <w:t>R. br.</w:t>
            </w:r>
          </w:p>
        </w:tc>
        <w:tc>
          <w:tcPr>
            <w:tcW w:w="2045"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ind w:left="260"/>
              <w:rPr>
                <w:rFonts w:ascii="Times New Roman" w:hAnsi="Times New Roman" w:cs="Times New Roman"/>
                <w:sz w:val="24"/>
                <w:szCs w:val="24"/>
              </w:rPr>
            </w:pPr>
            <w:r w:rsidRPr="00F91F0D">
              <w:rPr>
                <w:rStyle w:val="Bodytext29pt"/>
                <w:rFonts w:ascii="Times New Roman" w:hAnsi="Times New Roman" w:cs="Times New Roman"/>
                <w:sz w:val="24"/>
                <w:szCs w:val="24"/>
              </w:rPr>
              <w:t>Stepen rizika</w:t>
            </w:r>
          </w:p>
        </w:tc>
        <w:tc>
          <w:tcPr>
            <w:tcW w:w="3173" w:type="dxa"/>
            <w:tcBorders>
              <w:top w:val="single" w:sz="4" w:space="0" w:color="auto"/>
              <w:left w:val="single" w:sz="4" w:space="0" w:color="auto"/>
              <w:righ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ind w:left="160"/>
              <w:rPr>
                <w:rFonts w:ascii="Times New Roman" w:hAnsi="Times New Roman" w:cs="Times New Roman"/>
                <w:sz w:val="24"/>
                <w:szCs w:val="24"/>
              </w:rPr>
            </w:pPr>
            <w:r w:rsidRPr="00F91F0D">
              <w:rPr>
                <w:rStyle w:val="Bodytext29pt"/>
                <w:rFonts w:ascii="Times New Roman" w:hAnsi="Times New Roman" w:cs="Times New Roman"/>
                <w:sz w:val="24"/>
                <w:szCs w:val="24"/>
              </w:rPr>
              <w:t>Broj bodova u nadzoru u %</w:t>
            </w:r>
          </w:p>
        </w:tc>
      </w:tr>
      <w:tr w:rsidR="00D84B99" w:rsidRPr="00F91F0D" w:rsidTr="00D84B99">
        <w:trPr>
          <w:trHeight w:hRule="exact" w:val="288"/>
        </w:trPr>
        <w:tc>
          <w:tcPr>
            <w:tcW w:w="768"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ind w:right="260"/>
              <w:jc w:val="right"/>
              <w:rPr>
                <w:rFonts w:ascii="Times New Roman" w:hAnsi="Times New Roman" w:cs="Times New Roman"/>
                <w:sz w:val="24"/>
                <w:szCs w:val="24"/>
              </w:rPr>
            </w:pPr>
            <w:r w:rsidRPr="00F91F0D">
              <w:rPr>
                <w:rStyle w:val="Bodytext29pt"/>
                <w:rFonts w:ascii="Times New Roman" w:hAnsi="Times New Roman" w:cs="Times New Roman"/>
                <w:sz w:val="24"/>
                <w:szCs w:val="24"/>
              </w:rPr>
              <w:t>1.</w:t>
            </w:r>
          </w:p>
        </w:tc>
        <w:tc>
          <w:tcPr>
            <w:tcW w:w="2045" w:type="dxa"/>
            <w:tcBorders>
              <w:top w:val="single" w:sz="4" w:space="0" w:color="auto"/>
              <w:left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Neznatan</w:t>
            </w:r>
          </w:p>
        </w:tc>
        <w:tc>
          <w:tcPr>
            <w:tcW w:w="3173" w:type="dxa"/>
            <w:tcBorders>
              <w:top w:val="single" w:sz="4" w:space="0" w:color="auto"/>
              <w:left w:val="single" w:sz="4" w:space="0" w:color="auto"/>
              <w:right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90-100</w:t>
            </w:r>
          </w:p>
        </w:tc>
      </w:tr>
      <w:tr w:rsidR="00D84B99" w:rsidRPr="00F91F0D" w:rsidTr="00D84B99">
        <w:trPr>
          <w:trHeight w:hRule="exact" w:val="283"/>
        </w:trPr>
        <w:tc>
          <w:tcPr>
            <w:tcW w:w="768"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ind w:left="340"/>
              <w:rPr>
                <w:rFonts w:ascii="Times New Roman" w:hAnsi="Times New Roman" w:cs="Times New Roman"/>
                <w:sz w:val="24"/>
                <w:szCs w:val="24"/>
              </w:rPr>
            </w:pPr>
            <w:r w:rsidRPr="00F91F0D">
              <w:rPr>
                <w:rStyle w:val="Bodytext29pt"/>
                <w:rFonts w:ascii="Times New Roman" w:hAnsi="Times New Roman" w:cs="Times New Roman"/>
                <w:sz w:val="24"/>
                <w:szCs w:val="24"/>
              </w:rPr>
              <w:t>2.</w:t>
            </w:r>
          </w:p>
        </w:tc>
        <w:tc>
          <w:tcPr>
            <w:tcW w:w="2045"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Nizak</w:t>
            </w:r>
          </w:p>
        </w:tc>
        <w:tc>
          <w:tcPr>
            <w:tcW w:w="3173" w:type="dxa"/>
            <w:tcBorders>
              <w:top w:val="single" w:sz="4" w:space="0" w:color="auto"/>
              <w:left w:val="single" w:sz="4" w:space="0" w:color="auto"/>
              <w:righ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80-90</w:t>
            </w:r>
          </w:p>
        </w:tc>
      </w:tr>
      <w:tr w:rsidR="00D84B99" w:rsidRPr="00F91F0D" w:rsidTr="00D84B99">
        <w:trPr>
          <w:trHeight w:hRule="exact" w:val="288"/>
        </w:trPr>
        <w:tc>
          <w:tcPr>
            <w:tcW w:w="768"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ind w:left="340"/>
              <w:rPr>
                <w:rFonts w:ascii="Times New Roman" w:hAnsi="Times New Roman" w:cs="Times New Roman"/>
                <w:sz w:val="24"/>
                <w:szCs w:val="24"/>
              </w:rPr>
            </w:pPr>
            <w:r w:rsidRPr="00F91F0D">
              <w:rPr>
                <w:rStyle w:val="Bodytext29pt"/>
                <w:rFonts w:ascii="Times New Roman" w:hAnsi="Times New Roman" w:cs="Times New Roman"/>
                <w:sz w:val="24"/>
                <w:szCs w:val="24"/>
              </w:rPr>
              <w:t>3.</w:t>
            </w:r>
          </w:p>
        </w:tc>
        <w:tc>
          <w:tcPr>
            <w:tcW w:w="2045" w:type="dxa"/>
            <w:tcBorders>
              <w:top w:val="single" w:sz="4" w:space="0" w:color="auto"/>
              <w:lef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Srednji</w:t>
            </w:r>
          </w:p>
        </w:tc>
        <w:tc>
          <w:tcPr>
            <w:tcW w:w="3173" w:type="dxa"/>
            <w:tcBorders>
              <w:top w:val="single" w:sz="4" w:space="0" w:color="auto"/>
              <w:left w:val="single" w:sz="4" w:space="0" w:color="auto"/>
              <w:right w:val="single" w:sz="4" w:space="0" w:color="auto"/>
            </w:tcBorders>
            <w:shd w:val="clear" w:color="auto" w:fill="FFFFFF"/>
            <w:vAlign w:val="bottom"/>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65-80</w:t>
            </w:r>
          </w:p>
        </w:tc>
      </w:tr>
      <w:tr w:rsidR="00D84B99" w:rsidRPr="00F91F0D" w:rsidTr="00D84B99">
        <w:trPr>
          <w:trHeight w:hRule="exact" w:val="288"/>
        </w:trPr>
        <w:tc>
          <w:tcPr>
            <w:tcW w:w="768" w:type="dxa"/>
            <w:tcBorders>
              <w:top w:val="single" w:sz="4" w:space="0" w:color="auto"/>
              <w:left w:val="single" w:sz="4" w:space="0" w:color="auto"/>
            </w:tcBorders>
            <w:shd w:val="clear" w:color="auto" w:fill="FFFFFF"/>
          </w:tcPr>
          <w:p w:rsidR="00D84B99" w:rsidRPr="00F91F0D" w:rsidRDefault="00D84B99" w:rsidP="00D84B99">
            <w:pPr>
              <w:pStyle w:val="Bodytext20"/>
              <w:shd w:val="clear" w:color="auto" w:fill="auto"/>
              <w:spacing w:line="246" w:lineRule="exact"/>
              <w:ind w:left="340"/>
              <w:rPr>
                <w:rFonts w:ascii="Times New Roman" w:hAnsi="Times New Roman" w:cs="Times New Roman"/>
                <w:sz w:val="24"/>
                <w:szCs w:val="24"/>
              </w:rPr>
            </w:pPr>
            <w:r w:rsidRPr="00F91F0D">
              <w:rPr>
                <w:rStyle w:val="Bodytext29pt"/>
                <w:rFonts w:ascii="Times New Roman" w:hAnsi="Times New Roman" w:cs="Times New Roman"/>
                <w:sz w:val="24"/>
                <w:szCs w:val="24"/>
              </w:rPr>
              <w:t>4.</w:t>
            </w:r>
          </w:p>
        </w:tc>
        <w:tc>
          <w:tcPr>
            <w:tcW w:w="2045" w:type="dxa"/>
            <w:tcBorders>
              <w:top w:val="single" w:sz="4" w:space="0" w:color="auto"/>
              <w:left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Visok</w:t>
            </w:r>
          </w:p>
        </w:tc>
        <w:tc>
          <w:tcPr>
            <w:tcW w:w="3173" w:type="dxa"/>
            <w:tcBorders>
              <w:top w:val="single" w:sz="4" w:space="0" w:color="auto"/>
              <w:left w:val="single" w:sz="4" w:space="0" w:color="auto"/>
              <w:right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50-65</w:t>
            </w:r>
          </w:p>
        </w:tc>
      </w:tr>
      <w:tr w:rsidR="00D84B99" w:rsidRPr="00F91F0D" w:rsidTr="00D84B99">
        <w:trPr>
          <w:trHeight w:hRule="exact" w:val="293"/>
        </w:trPr>
        <w:tc>
          <w:tcPr>
            <w:tcW w:w="768" w:type="dxa"/>
            <w:tcBorders>
              <w:top w:val="single" w:sz="4" w:space="0" w:color="auto"/>
              <w:left w:val="single" w:sz="4" w:space="0" w:color="auto"/>
              <w:bottom w:val="single" w:sz="4" w:space="0" w:color="auto"/>
            </w:tcBorders>
            <w:shd w:val="clear" w:color="auto" w:fill="FFFFFF"/>
          </w:tcPr>
          <w:p w:rsidR="00D84B99" w:rsidRPr="00F91F0D" w:rsidRDefault="00D84B99" w:rsidP="00D84B99">
            <w:pPr>
              <w:pStyle w:val="Bodytext20"/>
              <w:shd w:val="clear" w:color="auto" w:fill="auto"/>
              <w:spacing w:line="246" w:lineRule="exact"/>
              <w:ind w:left="340"/>
              <w:rPr>
                <w:rFonts w:ascii="Times New Roman" w:hAnsi="Times New Roman" w:cs="Times New Roman"/>
                <w:sz w:val="24"/>
                <w:szCs w:val="24"/>
              </w:rPr>
            </w:pPr>
            <w:r w:rsidRPr="00F91F0D">
              <w:rPr>
                <w:rStyle w:val="Bodytext29pt"/>
                <w:rFonts w:ascii="Times New Roman" w:hAnsi="Times New Roman" w:cs="Times New Roman"/>
                <w:sz w:val="24"/>
                <w:szCs w:val="24"/>
              </w:rPr>
              <w:t>5.</w:t>
            </w:r>
          </w:p>
        </w:tc>
        <w:tc>
          <w:tcPr>
            <w:tcW w:w="2045" w:type="dxa"/>
            <w:tcBorders>
              <w:top w:val="single" w:sz="4" w:space="0" w:color="auto"/>
              <w:left w:val="single" w:sz="4" w:space="0" w:color="auto"/>
              <w:bottom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Kritičan</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D84B99" w:rsidRPr="00F91F0D" w:rsidRDefault="00D84B99" w:rsidP="00D84B99">
            <w:pPr>
              <w:pStyle w:val="Bodytext20"/>
              <w:shd w:val="clear" w:color="auto" w:fill="auto"/>
              <w:spacing w:line="246" w:lineRule="exact"/>
              <w:jc w:val="center"/>
              <w:rPr>
                <w:rFonts w:ascii="Times New Roman" w:hAnsi="Times New Roman" w:cs="Times New Roman"/>
                <w:sz w:val="24"/>
                <w:szCs w:val="24"/>
              </w:rPr>
            </w:pPr>
            <w:r w:rsidRPr="00F91F0D">
              <w:rPr>
                <w:rStyle w:val="Bodytext29pt"/>
                <w:rFonts w:ascii="Times New Roman" w:hAnsi="Times New Roman" w:cs="Times New Roman"/>
                <w:sz w:val="24"/>
                <w:szCs w:val="24"/>
              </w:rPr>
              <w:t>50 i manje</w:t>
            </w:r>
          </w:p>
        </w:tc>
      </w:tr>
    </w:tbl>
    <w:p w:rsidR="00D84B99" w:rsidRPr="00F91F0D" w:rsidRDefault="00D84B99" w:rsidP="00D84B99">
      <w:pPr>
        <w:rPr>
          <w:rFonts w:ascii="Times New Roman" w:hAnsi="Times New Roman" w:cs="Times New Roman"/>
        </w:rPr>
      </w:pPr>
    </w:p>
    <w:p w:rsidR="00D84B99" w:rsidRPr="00F91F0D" w:rsidRDefault="00D84B99" w:rsidP="005D7B5D">
      <w:pPr>
        <w:jc w:val="both"/>
        <w:rPr>
          <w:rFonts w:ascii="Times New Roman" w:hAnsi="Times New Roman" w:cs="Times New Roman"/>
        </w:rPr>
      </w:pPr>
      <w:r w:rsidRPr="00F91F0D">
        <w:rPr>
          <w:rFonts w:ascii="Times New Roman" w:hAnsi="Times New Roman" w:cs="Times New Roman"/>
        </w:rPr>
        <w:t>NAPOMENA: Lažno prikazivanje ili prikrivanje činjenica u kontrolnoj listi povlači sa sobom odgovarajuće pravne posledice zbog sastavljanja isprave neistinite sadržine radi dovođenja nadležnog organa u zabludu i stavljanja nadziranog subjekta u povoljniji položaj.</w:t>
      </w:r>
    </w:p>
    <w:p w:rsidR="00F30BD9" w:rsidRDefault="00D84B99" w:rsidP="00F30BD9">
      <w:pPr>
        <w:jc w:val="both"/>
        <w:rPr>
          <w:rFonts w:ascii="Times New Roman" w:hAnsi="Times New Roman" w:cs="Times New Roman"/>
        </w:rPr>
      </w:pPr>
      <w:r w:rsidRPr="00F91F0D">
        <w:rPr>
          <w:rFonts w:ascii="Times New Roman" w:hAnsi="Times New Roman" w:cs="Times New Roman"/>
        </w:rPr>
        <w:t>Odgovorno lice korisnika javnih sredstva overava pečatom kontrolnu listu, a budžetski inspektor potvrđuje svojim potpisom sadržinu kontrolne liste</w:t>
      </w:r>
    </w:p>
    <w:p w:rsidR="00F30BD9" w:rsidRDefault="00F30BD9" w:rsidP="006F6D1F">
      <w:pPr>
        <w:rPr>
          <w:rFonts w:ascii="Times New Roman" w:hAnsi="Times New Roman" w:cs="Times New Roman"/>
        </w:rPr>
      </w:pPr>
    </w:p>
    <w:p w:rsidR="008E33F4" w:rsidRDefault="008E33F4" w:rsidP="006F6D1F">
      <w:pPr>
        <w:rPr>
          <w:rFonts w:ascii="Times New Roman" w:hAnsi="Times New Roman" w:cs="Times New Roman"/>
        </w:rPr>
      </w:pPr>
    </w:p>
    <w:p w:rsidR="008E33F4" w:rsidRDefault="008E33F4" w:rsidP="006F6D1F">
      <w:pPr>
        <w:rPr>
          <w:rFonts w:ascii="Times New Roman" w:hAnsi="Times New Roman" w:cs="Times New Roman"/>
        </w:rPr>
      </w:pPr>
    </w:p>
    <w:p w:rsidR="00D84B99" w:rsidRPr="00F91F0D" w:rsidRDefault="00D84B99" w:rsidP="006F6D1F">
      <w:pPr>
        <w:rPr>
          <w:rFonts w:ascii="Times New Roman" w:hAnsi="Times New Roman" w:cs="Times New Roman"/>
        </w:rPr>
      </w:pPr>
      <w:r w:rsidRPr="00F91F0D">
        <w:rPr>
          <w:rFonts w:ascii="Times New Roman" w:hAnsi="Times New Roman" w:cs="Times New Roman"/>
        </w:rPr>
        <w:t xml:space="preserve">Budžetski inspektor                                </w:t>
      </w:r>
      <w:r w:rsidR="008E33F4">
        <w:rPr>
          <w:rFonts w:ascii="Times New Roman" w:hAnsi="Times New Roman" w:cs="Times New Roman"/>
        </w:rPr>
        <w:t xml:space="preserve">                                 </w:t>
      </w:r>
      <w:r w:rsidRPr="00F91F0D">
        <w:rPr>
          <w:rFonts w:ascii="Times New Roman" w:hAnsi="Times New Roman" w:cs="Times New Roman"/>
        </w:rPr>
        <w:t xml:space="preserve"> Odgovorno lice korisnika </w:t>
      </w:r>
    </w:p>
    <w:p w:rsidR="00F91F0D" w:rsidRPr="00F91F0D" w:rsidRDefault="008E33F4" w:rsidP="006F6D1F">
      <w:pPr>
        <w:rPr>
          <w:rFonts w:ascii="Times New Roman" w:hAnsi="Times New Roman" w:cs="Times New Roman"/>
        </w:rPr>
      </w:pPr>
      <w:r>
        <w:rPr>
          <w:rFonts w:ascii="Times New Roman" w:hAnsi="Times New Roman" w:cs="Times New Roman"/>
        </w:rPr>
        <w:t xml:space="preserve"> </w:t>
      </w:r>
    </w:p>
    <w:p w:rsidR="00D84B99" w:rsidRPr="00F91F0D" w:rsidRDefault="00F91F0D" w:rsidP="006F6D1F">
      <w:pPr>
        <w:rPr>
          <w:rFonts w:ascii="Times New Roman" w:hAnsi="Times New Roman" w:cs="Times New Roman"/>
        </w:rPr>
      </w:pPr>
      <w:r w:rsidRPr="00F91F0D">
        <w:rPr>
          <w:rFonts w:ascii="Times New Roman" w:hAnsi="Times New Roman" w:cs="Times New Roman"/>
        </w:rPr>
        <w:t>___________________                                                          ___________</w:t>
      </w:r>
      <w:r w:rsidR="00F30BD9">
        <w:rPr>
          <w:rFonts w:ascii="Times New Roman" w:hAnsi="Times New Roman" w:cs="Times New Roman"/>
        </w:rPr>
        <w:t>_____________</w:t>
      </w:r>
    </w:p>
    <w:sectPr w:rsidR="00D84B99" w:rsidRPr="00F91F0D" w:rsidSect="00395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4B4231"/>
    <w:rsid w:val="000313A7"/>
    <w:rsid w:val="00063E1F"/>
    <w:rsid w:val="000B5C3F"/>
    <w:rsid w:val="001E10F8"/>
    <w:rsid w:val="002C217E"/>
    <w:rsid w:val="002D5AF9"/>
    <w:rsid w:val="00395358"/>
    <w:rsid w:val="003C6CF1"/>
    <w:rsid w:val="004473EA"/>
    <w:rsid w:val="00447EAB"/>
    <w:rsid w:val="004B4231"/>
    <w:rsid w:val="005A3BAD"/>
    <w:rsid w:val="005D7B5D"/>
    <w:rsid w:val="00624ECC"/>
    <w:rsid w:val="006371E0"/>
    <w:rsid w:val="0068561F"/>
    <w:rsid w:val="006B19D4"/>
    <w:rsid w:val="006F6D1F"/>
    <w:rsid w:val="007A0287"/>
    <w:rsid w:val="007D4FBA"/>
    <w:rsid w:val="00826ACC"/>
    <w:rsid w:val="008E33F4"/>
    <w:rsid w:val="00A8233C"/>
    <w:rsid w:val="00AC5AA9"/>
    <w:rsid w:val="00B57824"/>
    <w:rsid w:val="00C51DA2"/>
    <w:rsid w:val="00CA3535"/>
    <w:rsid w:val="00D84B99"/>
    <w:rsid w:val="00DA6308"/>
    <w:rsid w:val="00F30BD9"/>
    <w:rsid w:val="00F54F14"/>
    <w:rsid w:val="00F91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423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B4231"/>
    <w:rPr>
      <w:rFonts w:ascii="Arial" w:eastAsia="Arial" w:hAnsi="Arial" w:cs="Arial"/>
      <w:b/>
      <w:bCs/>
      <w:shd w:val="clear" w:color="auto" w:fill="FFFFFF"/>
    </w:rPr>
  </w:style>
  <w:style w:type="paragraph" w:customStyle="1" w:styleId="Bodytext20">
    <w:name w:val="Body text (2)"/>
    <w:basedOn w:val="Normal"/>
    <w:link w:val="Bodytext2"/>
    <w:rsid w:val="004B4231"/>
    <w:pPr>
      <w:shd w:val="clear" w:color="auto" w:fill="FFFFFF"/>
      <w:spacing w:line="274" w:lineRule="exact"/>
    </w:pPr>
    <w:rPr>
      <w:rFonts w:ascii="Arial" w:eastAsia="Arial" w:hAnsi="Arial" w:cs="Arial"/>
      <w:b/>
      <w:bCs/>
      <w:color w:val="auto"/>
      <w:sz w:val="22"/>
      <w:szCs w:val="22"/>
    </w:rPr>
  </w:style>
  <w:style w:type="paragraph" w:styleId="NoSpacing">
    <w:name w:val="No Spacing"/>
    <w:link w:val="NoSpacingChar"/>
    <w:autoRedefine/>
    <w:uiPriority w:val="1"/>
    <w:qFormat/>
    <w:rsid w:val="004B4231"/>
    <w:pPr>
      <w:widowControl w:val="0"/>
      <w:spacing w:after="0" w:line="240" w:lineRule="auto"/>
    </w:pPr>
    <w:rPr>
      <w:rFonts w:ascii="Times New Roman" w:eastAsia="Courier New" w:hAnsi="Times New Roman" w:cs="Courier New"/>
      <w:color w:val="000000"/>
      <w:sz w:val="24"/>
      <w:szCs w:val="24"/>
    </w:rPr>
  </w:style>
  <w:style w:type="character" w:customStyle="1" w:styleId="NoSpacingChar">
    <w:name w:val="No Spacing Char"/>
    <w:basedOn w:val="DefaultParagraphFont"/>
    <w:link w:val="NoSpacing"/>
    <w:uiPriority w:val="1"/>
    <w:rsid w:val="004B4231"/>
    <w:rPr>
      <w:rFonts w:ascii="Times New Roman" w:eastAsia="Courier New" w:hAnsi="Times New Roman" w:cs="Courier New"/>
      <w:color w:val="000000"/>
      <w:sz w:val="24"/>
      <w:szCs w:val="24"/>
    </w:rPr>
  </w:style>
  <w:style w:type="table" w:styleId="TableGrid">
    <w:name w:val="Table Grid"/>
    <w:basedOn w:val="TableNormal"/>
    <w:uiPriority w:val="39"/>
    <w:rsid w:val="006F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pt">
    <w:name w:val="Body text (2) + 9 pt"/>
    <w:aliases w:val="Not Bold,Body text (2) + 11 pt"/>
    <w:basedOn w:val="DefaultParagraphFont"/>
    <w:rsid w:val="006371E0"/>
    <w:rPr>
      <w:rFonts w:ascii="Arial" w:eastAsia="Arial" w:hAnsi="Arial" w:cs="Arial"/>
      <w:b/>
      <w:bCs/>
      <w:i w:val="0"/>
      <w:iCs w:val="0"/>
      <w:smallCaps w:val="0"/>
      <w:strike w:val="0"/>
      <w:color w:val="000000"/>
      <w:spacing w:val="0"/>
      <w:w w:val="100"/>
      <w:position w:val="0"/>
      <w:sz w:val="18"/>
      <w:szCs w:val="18"/>
      <w:u w:val="none"/>
    </w:rPr>
  </w:style>
  <w:style w:type="paragraph" w:customStyle="1" w:styleId="Default">
    <w:name w:val="Default"/>
    <w:rsid w:val="008E33F4"/>
    <w:pPr>
      <w:widowControl w:val="0"/>
      <w:autoSpaceDN w:val="0"/>
      <w:adjustRightInd w:val="0"/>
      <w:spacing w:after="0" w:line="240" w:lineRule="auto"/>
    </w:pPr>
    <w:rPr>
      <w:rFonts w:ascii="Times New Roman" w:eastAsia="Times New Roman" w:hAnsi="Lucida Sans Unicode" w:cs="Times New Roman"/>
      <w:kern w:val="1"/>
      <w:sz w:val="24"/>
      <w:szCs w:val="24"/>
      <w:lang w:val="sr-Latn-CS" w:eastAsia="zh-CN" w:bidi="hi-IN"/>
    </w:rPr>
  </w:style>
  <w:style w:type="paragraph" w:styleId="BalloonText">
    <w:name w:val="Balloon Text"/>
    <w:basedOn w:val="Normal"/>
    <w:link w:val="BalloonTextChar"/>
    <w:uiPriority w:val="99"/>
    <w:semiHidden/>
    <w:unhideWhenUsed/>
    <w:rsid w:val="008E33F4"/>
    <w:rPr>
      <w:rFonts w:ascii="Tahoma" w:hAnsi="Tahoma" w:cs="Tahoma"/>
      <w:sz w:val="16"/>
      <w:szCs w:val="16"/>
    </w:rPr>
  </w:style>
  <w:style w:type="character" w:customStyle="1" w:styleId="BalloonTextChar">
    <w:name w:val="Balloon Text Char"/>
    <w:basedOn w:val="DefaultParagraphFont"/>
    <w:link w:val="BalloonText"/>
    <w:uiPriority w:val="99"/>
    <w:semiHidden/>
    <w:rsid w:val="008E33F4"/>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9310-8190-46EB-B7E7-4A2A276C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 Ramicevic</dc:creator>
  <cp:lastModifiedBy>Revizor</cp:lastModifiedBy>
  <cp:revision>10</cp:revision>
  <dcterms:created xsi:type="dcterms:W3CDTF">2018-01-29T11:46:00Z</dcterms:created>
  <dcterms:modified xsi:type="dcterms:W3CDTF">2018-02-07T09:45:00Z</dcterms:modified>
</cp:coreProperties>
</file>